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14392" w14:textId="7C3B160E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A022B4">
        <w:rPr>
          <w:rFonts w:cs="Arial"/>
          <w:b/>
          <w:sz w:val="24"/>
          <w:szCs w:val="24"/>
        </w:rPr>
        <w:t>107</w:t>
      </w:r>
      <w:r>
        <w:rPr>
          <w:rFonts w:cs="Arial"/>
          <w:b/>
          <w:sz w:val="24"/>
          <w:szCs w:val="24"/>
        </w:rPr>
        <w:tab/>
      </w:r>
      <w:r w:rsidR="00163356" w:rsidRPr="00163356">
        <w:rPr>
          <w:rFonts w:cs="Arial"/>
          <w:b/>
          <w:sz w:val="24"/>
          <w:szCs w:val="24"/>
        </w:rPr>
        <w:t>R4-2309497</w:t>
      </w:r>
    </w:p>
    <w:p w14:paraId="4C0A28A8" w14:textId="60686031" w:rsidR="00820BC5" w:rsidRPr="0087636F" w:rsidRDefault="00C86102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C86102">
        <w:rPr>
          <w:rFonts w:cs="Arial"/>
          <w:b/>
          <w:sz w:val="24"/>
          <w:szCs w:val="24"/>
        </w:rPr>
        <w:t>Incheon</w:t>
      </w:r>
      <w:r w:rsidR="00820BC5" w:rsidRPr="00690ADD">
        <w:rPr>
          <w:rFonts w:cs="Arial"/>
          <w:b/>
          <w:sz w:val="24"/>
          <w:szCs w:val="24"/>
        </w:rPr>
        <w:t>,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Korea</w:t>
      </w:r>
      <w:r w:rsidR="00F1354A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22</w:t>
      </w:r>
      <w:r>
        <w:rPr>
          <w:rFonts w:cs="Arial"/>
          <w:b/>
          <w:sz w:val="24"/>
          <w:szCs w:val="24"/>
          <w:vertAlign w:val="superscript"/>
        </w:rPr>
        <w:t>nd</w:t>
      </w:r>
      <w:r w:rsidR="00820BC5">
        <w:rPr>
          <w:rFonts w:cs="Arial"/>
          <w:b/>
          <w:sz w:val="24"/>
          <w:szCs w:val="24"/>
        </w:rPr>
        <w:t xml:space="preserve"> </w:t>
      </w:r>
      <w:r w:rsidR="00820BC5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26</w:t>
      </w:r>
      <w:r w:rsidR="00F1354A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May</w:t>
      </w:r>
      <w:r w:rsidR="00820BC5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A022B4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3</w:t>
      </w:r>
    </w:p>
    <w:p w14:paraId="3CC68F2C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86F522B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1B00487" w14:textId="71AB592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A022B4">
        <w:rPr>
          <w:sz w:val="22"/>
        </w:rPr>
        <w:t>FWA PC1 n41 NS_04 A-MPR</w:t>
      </w:r>
      <w:r w:rsidR="0080529E">
        <w:rPr>
          <w:sz w:val="22"/>
        </w:rPr>
        <w:t xml:space="preserve"> </w:t>
      </w:r>
      <w:r w:rsidR="005D483D">
        <w:rPr>
          <w:sz w:val="22"/>
        </w:rPr>
        <w:t xml:space="preserve">simulation </w:t>
      </w:r>
      <w:r w:rsidR="007A617B">
        <w:rPr>
          <w:sz w:val="22"/>
        </w:rPr>
        <w:t>summary</w:t>
      </w:r>
    </w:p>
    <w:bookmarkEnd w:id="1"/>
    <w:p w14:paraId="68AA7EC4" w14:textId="557CB84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396E17" w:rsidRPr="00A110D1">
        <w:rPr>
          <w:bCs/>
          <w:sz w:val="22"/>
        </w:rPr>
        <w:t>7.16.2</w:t>
      </w:r>
    </w:p>
    <w:p w14:paraId="6FCE093B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43457">
        <w:rPr>
          <w:sz w:val="22"/>
        </w:rPr>
        <w:t>Discussion</w:t>
      </w:r>
    </w:p>
    <w:p w14:paraId="4E450914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CBC22A6" w14:textId="11A1FEB5" w:rsidR="001535C6" w:rsidRDefault="00AB2813" w:rsidP="001535C6">
      <w:r>
        <w:t xml:space="preserve">In [1], we </w:t>
      </w:r>
      <w:r w:rsidR="007535C9">
        <w:t xml:space="preserve">presented </w:t>
      </w:r>
      <w:r>
        <w:t xml:space="preserve">simulation results of FWA PC1 A-MPR for </w:t>
      </w:r>
      <w:r w:rsidR="009A4B07">
        <w:t xml:space="preserve">band </w:t>
      </w:r>
      <w:r>
        <w:t>n41 with NS_04. In this contribution, we</w:t>
      </w:r>
      <w:r w:rsidR="00B20401">
        <w:t xml:space="preserve"> summari</w:t>
      </w:r>
      <w:r w:rsidR="007535C9">
        <w:t>ze those results to help formulate the A-MPR specification.</w:t>
      </w:r>
    </w:p>
    <w:p w14:paraId="588A2EBE" w14:textId="47AEA8E6" w:rsidR="001535C6" w:rsidRDefault="001535C6" w:rsidP="001535C6">
      <w:pPr>
        <w:pStyle w:val="Heading1"/>
      </w:pPr>
      <w:r>
        <w:t>2</w:t>
      </w:r>
      <w:r>
        <w:tab/>
      </w:r>
      <w:r>
        <w:t>NS_04 emission requirements</w:t>
      </w:r>
    </w:p>
    <w:p w14:paraId="258F1242" w14:textId="33D6B8EC" w:rsidR="001535C6" w:rsidRDefault="009B218B" w:rsidP="000B5E8E">
      <w:r>
        <w:t xml:space="preserve">NS_04 defines both an additional spectrum emission mask and </w:t>
      </w:r>
      <w:r>
        <w:t>an additional</w:t>
      </w:r>
      <w:r>
        <w:t xml:space="preserve"> spurious emission </w:t>
      </w:r>
      <w:r w:rsidR="008855F2">
        <w:t>mask</w:t>
      </w:r>
      <w:r w:rsidR="00502796">
        <w:t>:</w:t>
      </w:r>
    </w:p>
    <w:p w14:paraId="60866362" w14:textId="77777777" w:rsidR="00A03643" w:rsidRDefault="00A03643" w:rsidP="00A03643">
      <w:pPr>
        <w:pStyle w:val="TH"/>
        <w:rPr>
          <w:rFonts w:eastAsia="Yu Mincho"/>
        </w:rPr>
      </w:pPr>
      <w:bookmarkStart w:id="2" w:name="_Hlk515649337"/>
      <w:r w:rsidRPr="00A1115A">
        <w:t xml:space="preserve">Table 6.5.2.3.2-3: n41 </w:t>
      </w:r>
      <w:r>
        <w:t xml:space="preserve">and n90 </w:t>
      </w:r>
      <w:r w:rsidRPr="00A1115A">
        <w:t xml:space="preserve">SEM with </w:t>
      </w:r>
      <w:r w:rsidRPr="00A1115A">
        <w:rPr>
          <w:rFonts w:eastAsia="Yu Mincho"/>
        </w:rPr>
        <w:t>"</w:t>
      </w:r>
      <w:r w:rsidRPr="00A1115A">
        <w:t>NS_04</w:t>
      </w:r>
      <w:r w:rsidRPr="00A1115A">
        <w:rPr>
          <w:rFonts w:eastAsia="Yu Mincho"/>
        </w:rPr>
        <w:t>"</w:t>
      </w:r>
      <w:bookmarkEnd w:id="2"/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226"/>
        <w:gridCol w:w="139"/>
        <w:gridCol w:w="179"/>
        <w:gridCol w:w="213"/>
        <w:gridCol w:w="239"/>
        <w:gridCol w:w="78"/>
        <w:gridCol w:w="75"/>
        <w:gridCol w:w="291"/>
        <w:gridCol w:w="88"/>
        <w:gridCol w:w="41"/>
        <w:gridCol w:w="198"/>
        <w:gridCol w:w="153"/>
        <w:gridCol w:w="94"/>
        <w:gridCol w:w="283"/>
        <w:gridCol w:w="15"/>
        <w:gridCol w:w="312"/>
        <w:gridCol w:w="73"/>
        <w:gridCol w:w="392"/>
        <w:gridCol w:w="59"/>
        <w:gridCol w:w="324"/>
        <w:gridCol w:w="341"/>
        <w:gridCol w:w="341"/>
        <w:gridCol w:w="341"/>
        <w:gridCol w:w="341"/>
        <w:gridCol w:w="341"/>
        <w:gridCol w:w="441"/>
        <w:gridCol w:w="1927"/>
      </w:tblGrid>
      <w:tr w:rsidR="00A03643" w:rsidRPr="00A1115A" w14:paraId="6392A08D" w14:textId="77777777" w:rsidTr="00E02BDA">
        <w:trPr>
          <w:trHeight w:val="187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F846A" w14:textId="77777777" w:rsidR="00A03643" w:rsidRPr="00A1115A" w:rsidRDefault="00A03643" w:rsidP="00E02BDA">
            <w:pPr>
              <w:pStyle w:val="TAH"/>
            </w:pPr>
            <w:r w:rsidRPr="00A1115A">
              <w:t>Δf</w:t>
            </w:r>
            <w:r w:rsidRPr="00A1115A">
              <w:rPr>
                <w:vertAlign w:val="subscript"/>
              </w:rPr>
              <w:t>OOB</w:t>
            </w:r>
            <w:r w:rsidRPr="00A1115A">
              <w:t xml:space="preserve"> </w:t>
            </w:r>
            <w:r w:rsidRPr="00A1115A">
              <w:br/>
              <w:t>MHz</w:t>
            </w:r>
          </w:p>
        </w:tc>
        <w:tc>
          <w:tcPr>
            <w:tcW w:w="5618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799DE" w14:textId="77777777" w:rsidR="00A03643" w:rsidRPr="00A1115A" w:rsidRDefault="00A03643" w:rsidP="00E02BDA">
            <w:pPr>
              <w:pStyle w:val="TAH"/>
              <w:jc w:val="left"/>
            </w:pPr>
            <w:r w:rsidRPr="00A1115A">
              <w:t>Channel bandwidth (MHz) / Spectrum emission limit (dBm)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0C6BECE" w14:textId="77777777" w:rsidR="00A03643" w:rsidRPr="00A1115A" w:rsidRDefault="00A03643" w:rsidP="00E02BDA">
            <w:pPr>
              <w:pStyle w:val="TAH"/>
            </w:pPr>
            <w:r w:rsidRPr="00A1115A">
              <w:t>Measurement</w:t>
            </w:r>
            <w:r w:rsidRPr="00A1115A">
              <w:br/>
              <w:t>bandwidth</w:t>
            </w:r>
          </w:p>
        </w:tc>
      </w:tr>
      <w:tr w:rsidR="00A03643" w:rsidRPr="00A1115A" w14:paraId="055D62D7" w14:textId="77777777" w:rsidTr="00E02BDA">
        <w:trPr>
          <w:trHeight w:val="187"/>
          <w:jc w:val="center"/>
        </w:trPr>
        <w:tc>
          <w:tcPr>
            <w:tcW w:w="2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3883" w14:textId="77777777" w:rsidR="00A03643" w:rsidRPr="00A1115A" w:rsidRDefault="00A03643" w:rsidP="00E02BDA">
            <w:pPr>
              <w:pStyle w:val="TAH"/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2BF1F" w14:textId="77777777" w:rsidR="00A03643" w:rsidRPr="00CF41C3" w:rsidRDefault="00A03643" w:rsidP="00E02BDA">
            <w:pPr>
              <w:pStyle w:val="TAH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F7AF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</w:t>
            </w:r>
          </w:p>
        </w:tc>
        <w:tc>
          <w:tcPr>
            <w:tcW w:w="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CABDF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15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A65CD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20</w:t>
            </w:r>
          </w:p>
        </w:tc>
        <w:tc>
          <w:tcPr>
            <w:tcW w:w="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03081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632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30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1A421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6945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4964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6C8D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2344A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60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CD745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70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4A7B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80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A53768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90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921C" w14:textId="77777777" w:rsidR="00A03643" w:rsidRPr="00A1115A" w:rsidRDefault="00A03643" w:rsidP="00E02BD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9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1036E" w14:textId="77777777" w:rsidR="00A03643" w:rsidRPr="00A1115A" w:rsidRDefault="00A03643" w:rsidP="00E02BDA">
            <w:pPr>
              <w:pStyle w:val="TAH"/>
            </w:pPr>
          </w:p>
        </w:tc>
      </w:tr>
      <w:tr w:rsidR="00A03643" w:rsidRPr="00A1115A" w14:paraId="5DB06D9E" w14:textId="77777777" w:rsidTr="00E02BD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AA57758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± 0 - 1</w:t>
            </w:r>
          </w:p>
        </w:tc>
        <w:tc>
          <w:tcPr>
            <w:tcW w:w="347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04F5F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-10</w:t>
            </w:r>
          </w:p>
          <w:p w14:paraId="0051D8A4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F0B8FC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5783C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2721D" w14:textId="77777777" w:rsidR="00A03643" w:rsidRPr="00A1115A" w:rsidRDefault="00A03643" w:rsidP="00E02BDA">
            <w:pPr>
              <w:pStyle w:val="TAC"/>
            </w:pPr>
            <w:r w:rsidRPr="00A1115A">
              <w:t>2 % channel bandwidth</w:t>
            </w:r>
          </w:p>
        </w:tc>
      </w:tr>
      <w:tr w:rsidR="00A03643" w:rsidRPr="00A1115A" w14:paraId="0CF79891" w14:textId="77777777" w:rsidTr="00E02BD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46A313F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0187B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E7CAF2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061A2D2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B02455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3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6ECD1D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1BF8B4F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00AE5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52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5BEF20C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DC5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DDA603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6AAD0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43D2B7" w14:textId="77777777" w:rsidR="00A03643" w:rsidRPr="00A1115A" w:rsidRDefault="00A03643" w:rsidP="00E02BDA">
            <w:pPr>
              <w:pStyle w:val="TAC"/>
            </w:pPr>
            <w:r w:rsidRPr="00A1115A">
              <w:t>1 MHz</w:t>
            </w:r>
          </w:p>
        </w:tc>
      </w:tr>
      <w:tr w:rsidR="00A03643" w:rsidRPr="00A1115A" w14:paraId="2CF4DED3" w14:textId="77777777" w:rsidTr="00E02BDA">
        <w:trPr>
          <w:trHeight w:val="187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49D3D" w14:textId="77777777" w:rsidR="00A03643" w:rsidRPr="00A1115A" w:rsidRDefault="00A03643" w:rsidP="00E02BDA">
            <w:pPr>
              <w:pStyle w:val="TAC"/>
            </w:pPr>
            <w:r w:rsidRPr="00A1115A">
              <w:t>± 1 - 5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0E73A" w14:textId="77777777" w:rsidR="00A03643" w:rsidRPr="00A1115A" w:rsidRDefault="00A03643" w:rsidP="00E02BDA">
            <w:pPr>
              <w:pStyle w:val="TAC"/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39382" w14:textId="77777777" w:rsidR="00A03643" w:rsidRPr="00A1115A" w:rsidRDefault="00A03643" w:rsidP="00E02BDA">
            <w:pPr>
              <w:pStyle w:val="TAC"/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AA63" w14:textId="77777777" w:rsidR="00A03643" w:rsidRPr="00A1115A" w:rsidRDefault="00A03643" w:rsidP="00E02BDA">
            <w:pPr>
              <w:pStyle w:val="TAC"/>
            </w:pPr>
          </w:p>
        </w:tc>
        <w:tc>
          <w:tcPr>
            <w:tcW w:w="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B485F" w14:textId="77777777" w:rsidR="00A03643" w:rsidRPr="00A1115A" w:rsidRDefault="00A03643" w:rsidP="00E02BDA">
            <w:pPr>
              <w:pStyle w:val="TAC"/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42507" w14:textId="77777777" w:rsidR="00A03643" w:rsidRPr="00A1115A" w:rsidRDefault="00A03643" w:rsidP="00E02BDA">
            <w:pPr>
              <w:pStyle w:val="TAC"/>
            </w:pPr>
          </w:p>
        </w:tc>
        <w:tc>
          <w:tcPr>
            <w:tcW w:w="360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D4014" w14:textId="77777777" w:rsidR="00A03643" w:rsidRPr="00A1115A" w:rsidRDefault="00A03643" w:rsidP="00E02BDA">
            <w:pPr>
              <w:pStyle w:val="TAC"/>
            </w:pPr>
            <w:r w:rsidRPr="00A1115A">
              <w:t>-10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0247F" w14:textId="77777777" w:rsidR="00A03643" w:rsidRPr="00A1115A" w:rsidRDefault="00A03643" w:rsidP="00E02BDA">
            <w:pPr>
              <w:pStyle w:val="TAC"/>
            </w:pPr>
            <w:r w:rsidRPr="00A1115A">
              <w:t>1 MHz</w:t>
            </w:r>
          </w:p>
        </w:tc>
      </w:tr>
      <w:tr w:rsidR="00A03643" w:rsidRPr="00A1115A" w14:paraId="02B710D9" w14:textId="77777777" w:rsidTr="00E02BD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51174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± 5 - X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B6FF3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28AD5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4C0C8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4835D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03DF0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360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4C7AE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-13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D071F" w14:textId="77777777" w:rsidR="00A03643" w:rsidRPr="00A1115A" w:rsidRDefault="00A03643" w:rsidP="00E02BDA">
            <w:pPr>
              <w:pStyle w:val="TAC"/>
            </w:pPr>
          </w:p>
        </w:tc>
      </w:tr>
      <w:tr w:rsidR="00A03643" w:rsidRPr="00A1115A" w14:paraId="0DD0D95C" w14:textId="77777777" w:rsidTr="00E02BD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E0D7A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± X - (BW</w:t>
            </w:r>
            <w:r w:rsidRPr="00A1115A">
              <w:rPr>
                <w:vertAlign w:val="subscript"/>
                <w:lang w:val="fi-FI"/>
              </w:rPr>
              <w:t>Channel</w:t>
            </w:r>
            <w:r w:rsidRPr="00A1115A">
              <w:rPr>
                <w:lang w:val="fi-FI"/>
              </w:rPr>
              <w:t xml:space="preserve"> + 5 MHz)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7E773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7075D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2336F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BE916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9E0EF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</w:p>
        </w:tc>
        <w:tc>
          <w:tcPr>
            <w:tcW w:w="360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7190D" w14:textId="77777777" w:rsidR="00A03643" w:rsidRPr="00A1115A" w:rsidRDefault="00A03643" w:rsidP="00E02BD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-25</w:t>
            </w:r>
          </w:p>
        </w:tc>
        <w:tc>
          <w:tcPr>
            <w:tcW w:w="1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D49A" w14:textId="77777777" w:rsidR="00A03643" w:rsidRPr="00A1115A" w:rsidRDefault="00A03643" w:rsidP="00E02BD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03643" w:rsidRPr="00A1115A" w14:paraId="59A3DA6C" w14:textId="77777777" w:rsidTr="00E02BDA">
        <w:trPr>
          <w:trHeight w:val="187"/>
          <w:jc w:val="center"/>
        </w:trPr>
        <w:tc>
          <w:tcPr>
            <w:tcW w:w="962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67DB" w14:textId="77777777" w:rsidR="00A03643" w:rsidRDefault="00A03643" w:rsidP="00E02BDA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1115A">
              <w:rPr>
                <w:lang w:val="en-US"/>
              </w:rPr>
              <w:t>:</w:t>
            </w:r>
            <w:r w:rsidRPr="00A1115A">
              <w:tab/>
            </w:r>
            <w:r w:rsidRPr="00A1115A">
              <w:rPr>
                <w:lang w:val="en-US"/>
              </w:rPr>
              <w:t>X is defined in Table 6.5.2.3.2-1 for CP-OFDM and 6.5.2.3.2-2 for DFT-S-OFDM</w:t>
            </w:r>
          </w:p>
          <w:p w14:paraId="55AFF055" w14:textId="77777777" w:rsidR="00A03643" w:rsidRPr="00A1115A" w:rsidRDefault="00A03643" w:rsidP="00E02BDA">
            <w:pPr>
              <w:pStyle w:val="TAN"/>
              <w:rPr>
                <w:lang w:val="en-US"/>
              </w:rPr>
            </w:pPr>
          </w:p>
        </w:tc>
      </w:tr>
    </w:tbl>
    <w:p w14:paraId="18FCEFDD" w14:textId="3C245C8B" w:rsidR="009B218B" w:rsidRDefault="009B218B" w:rsidP="000B5E8E"/>
    <w:p w14:paraId="2AFE22C7" w14:textId="77777777" w:rsidR="00A03643" w:rsidRPr="00A1115A" w:rsidRDefault="00A03643" w:rsidP="00A03643">
      <w:pPr>
        <w:pStyle w:val="TH"/>
      </w:pPr>
      <w:r w:rsidRPr="00A1115A">
        <w:t xml:space="preserve">Table 6.5.3.3.1-1: Additional requirements for </w:t>
      </w:r>
      <w:r w:rsidRPr="00A1115A">
        <w:rPr>
          <w:rFonts w:eastAsia="Yu Mincho"/>
        </w:rPr>
        <w:t>"</w:t>
      </w:r>
      <w:r w:rsidRPr="00A1115A">
        <w:t>NS_04</w:t>
      </w:r>
      <w:r w:rsidRPr="00A1115A">
        <w:rPr>
          <w:rFonts w:eastAsia="Yu Mincho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3347"/>
        <w:gridCol w:w="1870"/>
      </w:tblGrid>
      <w:tr w:rsidR="00A03643" w:rsidRPr="00A1115A" w14:paraId="54687F96" w14:textId="77777777" w:rsidTr="00E02BDA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88F4E5" w14:textId="77777777" w:rsidR="00A03643" w:rsidRPr="00A1115A" w:rsidRDefault="00A03643" w:rsidP="00E02BDA">
            <w:pPr>
              <w:pStyle w:val="TAH"/>
            </w:pPr>
            <w:r w:rsidRPr="00A1115A">
              <w:t>Frequency range</w:t>
            </w:r>
          </w:p>
          <w:p w14:paraId="0B27F5C6" w14:textId="77777777" w:rsidR="00A03643" w:rsidRPr="00A1115A" w:rsidRDefault="00A03643" w:rsidP="00E02BDA">
            <w:pPr>
              <w:pStyle w:val="TAH"/>
            </w:pPr>
            <w:r w:rsidRPr="00A1115A">
              <w:t>(MHz)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54B8" w14:textId="77777777" w:rsidR="00A03643" w:rsidRPr="00A1115A" w:rsidRDefault="00A03643" w:rsidP="00E02BDA">
            <w:pPr>
              <w:pStyle w:val="TAH"/>
              <w:rPr>
                <w:rFonts w:eastAsia="SimSun"/>
              </w:rPr>
            </w:pPr>
            <w:r w:rsidRPr="00A1115A">
              <w:t>Channel bandwidth (MHz) / Spectrum emission limit (dBm)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1ADBA1" w14:textId="77777777" w:rsidR="00A03643" w:rsidRPr="00A1115A" w:rsidRDefault="00A03643" w:rsidP="00E02BDA">
            <w:pPr>
              <w:pStyle w:val="TAH"/>
            </w:pPr>
            <w:r w:rsidRPr="00A1115A">
              <w:t>Measurement bandwidth</w:t>
            </w:r>
          </w:p>
        </w:tc>
      </w:tr>
      <w:tr w:rsidR="00A03643" w:rsidRPr="00A1115A" w14:paraId="6FBFDA4E" w14:textId="77777777" w:rsidTr="00E02BDA">
        <w:trPr>
          <w:trHeight w:val="187"/>
          <w:jc w:val="center"/>
        </w:trPr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37E00" w14:textId="77777777" w:rsidR="00A03643" w:rsidRPr="00A1115A" w:rsidRDefault="00A03643" w:rsidP="00E02BDA">
            <w:pPr>
              <w:pStyle w:val="TAH"/>
              <w:rPr>
                <w:rFonts w:cs="Arial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9E0A" w14:textId="77777777" w:rsidR="00A03643" w:rsidRPr="00A1115A" w:rsidRDefault="00A03643" w:rsidP="00E02BDA">
            <w:pPr>
              <w:pStyle w:val="TAH"/>
            </w:pPr>
            <w:r w:rsidRPr="00A1115A">
              <w:t>10, 15, 20, 30, 40, 50, 60, 80, 90, 100 MHz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CCFE2" w14:textId="77777777" w:rsidR="00A03643" w:rsidRPr="00A1115A" w:rsidRDefault="00A03643" w:rsidP="00E02BDA">
            <w:pPr>
              <w:pStyle w:val="TAH"/>
            </w:pPr>
          </w:p>
        </w:tc>
      </w:tr>
      <w:tr w:rsidR="00A03643" w:rsidRPr="00A1115A" w14:paraId="42AF5089" w14:textId="77777777" w:rsidTr="00E02BDA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CDEF" w14:textId="77777777" w:rsidR="00A03643" w:rsidRPr="00A1115A" w:rsidRDefault="00A03643" w:rsidP="00E02BDA">
            <w:pPr>
              <w:pStyle w:val="TAC"/>
            </w:pPr>
            <w:r w:rsidRPr="00A1115A">
              <w:t>2495 ≤ f &lt; 2496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1D5F" w14:textId="77777777" w:rsidR="00A03643" w:rsidRPr="00A1115A" w:rsidRDefault="00A03643" w:rsidP="00E02BDA">
            <w:pPr>
              <w:pStyle w:val="TAC"/>
            </w:pPr>
            <w:r w:rsidRPr="00A1115A">
              <w:t>-13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8D4C" w14:textId="77777777" w:rsidR="00A03643" w:rsidRPr="00A1115A" w:rsidRDefault="00A03643" w:rsidP="00E02BDA">
            <w:pPr>
              <w:pStyle w:val="TAC"/>
            </w:pPr>
            <w:r w:rsidRPr="00A1115A">
              <w:t>1 % of Channel BW</w:t>
            </w:r>
          </w:p>
        </w:tc>
      </w:tr>
      <w:tr w:rsidR="00A03643" w:rsidRPr="00A1115A" w14:paraId="603296DF" w14:textId="77777777" w:rsidTr="00E02BDA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6CE3" w14:textId="77777777" w:rsidR="00A03643" w:rsidRPr="00A1115A" w:rsidRDefault="00A03643" w:rsidP="00E02BDA">
            <w:pPr>
              <w:pStyle w:val="TAC"/>
            </w:pPr>
            <w:r w:rsidRPr="00A1115A">
              <w:t>2490.5 ≤ f &lt; 2495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277D" w14:textId="77777777" w:rsidR="00A03643" w:rsidRPr="00A1115A" w:rsidRDefault="00A03643" w:rsidP="00E02BDA">
            <w:pPr>
              <w:pStyle w:val="TAC"/>
            </w:pPr>
            <w:r w:rsidRPr="00A1115A">
              <w:t>-13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DD3F" w14:textId="77777777" w:rsidR="00A03643" w:rsidRPr="00A1115A" w:rsidRDefault="00A03643" w:rsidP="00E02BDA">
            <w:pPr>
              <w:pStyle w:val="TAC"/>
            </w:pPr>
            <w:r w:rsidRPr="00A1115A">
              <w:t>1 MHz</w:t>
            </w:r>
          </w:p>
        </w:tc>
      </w:tr>
      <w:tr w:rsidR="00A03643" w:rsidRPr="00A1115A" w14:paraId="5DB2150C" w14:textId="77777777" w:rsidTr="00E02BDA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D2D0" w14:textId="77777777" w:rsidR="00A03643" w:rsidRPr="00A1115A" w:rsidRDefault="00A03643" w:rsidP="00E02BDA">
            <w:pPr>
              <w:pStyle w:val="TAC"/>
            </w:pPr>
            <w:r w:rsidRPr="00A1115A">
              <w:t>0.009 &lt; f &lt; 2490.5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3B53" w14:textId="77777777" w:rsidR="00A03643" w:rsidRPr="00A1115A" w:rsidRDefault="00A03643" w:rsidP="00E02BDA">
            <w:pPr>
              <w:pStyle w:val="TAC"/>
            </w:pPr>
            <w:r w:rsidRPr="00A1115A">
              <w:t>-25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96C0" w14:textId="77777777" w:rsidR="00A03643" w:rsidRPr="00A1115A" w:rsidRDefault="00A03643" w:rsidP="00E02BDA">
            <w:pPr>
              <w:pStyle w:val="TAC"/>
            </w:pPr>
            <w:r w:rsidRPr="00A1115A">
              <w:t>1 MHz</w:t>
            </w:r>
          </w:p>
        </w:tc>
      </w:tr>
    </w:tbl>
    <w:p w14:paraId="35FF7A50" w14:textId="77777777" w:rsidR="00A03643" w:rsidRDefault="00A03643" w:rsidP="000B5E8E"/>
    <w:p w14:paraId="6F152A21" w14:textId="7C285937" w:rsidR="000A6A9A" w:rsidRDefault="001535C6" w:rsidP="000A6A9A">
      <w:pPr>
        <w:pStyle w:val="Heading1"/>
      </w:pPr>
      <w:r>
        <w:t>3</w:t>
      </w:r>
      <w:r w:rsidR="000A6A9A">
        <w:tab/>
      </w:r>
      <w:r w:rsidR="007548F4">
        <w:t>Summary of simulation results</w:t>
      </w:r>
    </w:p>
    <w:p w14:paraId="3DDFD621" w14:textId="09690715" w:rsidR="00477AA8" w:rsidRDefault="00477AA8" w:rsidP="00AB2813">
      <w:r>
        <w:t xml:space="preserve">The 5 MHz channel bandwidth </w:t>
      </w:r>
      <w:r w:rsidR="00A849E7">
        <w:t xml:space="preserve">does not </w:t>
      </w:r>
      <w:r>
        <w:t>need A-MPR</w:t>
      </w:r>
      <w:r w:rsidR="00A849E7">
        <w:t xml:space="preserve"> but all others do.</w:t>
      </w:r>
    </w:p>
    <w:p w14:paraId="1D415EA3" w14:textId="53DBAFA3" w:rsidR="00002CC7" w:rsidRDefault="0042616E" w:rsidP="00AB2813">
      <w:r>
        <w:t>The additional SEM of NS_04 does not require A-MPR</w:t>
      </w:r>
      <w:r w:rsidR="00AC3F29">
        <w:t xml:space="preserve"> in PC1</w:t>
      </w:r>
      <w:r>
        <w:t xml:space="preserve">. </w:t>
      </w:r>
      <w:r w:rsidR="001D0DD0">
        <w:t>Thus, A-MPR can be avoided if the channel is located at a sufficient distance from the additional spurious mask.</w:t>
      </w:r>
    </w:p>
    <w:p w14:paraId="045BF067" w14:textId="601C51D8" w:rsidR="00AB2813" w:rsidRDefault="003C2B89" w:rsidP="00AB2813">
      <w:r>
        <w:t xml:space="preserve">Figure 1 presents </w:t>
      </w:r>
      <w:r w:rsidR="00A20BFE">
        <w:t xml:space="preserve">examples of </w:t>
      </w:r>
      <w:r>
        <w:t>typical A-MPR triangle plots for PC1 NS_04</w:t>
      </w:r>
      <w:r w:rsidR="00FC336D">
        <w:t>. In the simulation, the channel was located at the lower edge of n41, i.e., closest to the additional spurious emission mask</w:t>
      </w:r>
      <w:r>
        <w:t xml:space="preserve">. Only those allocations are plotted </w:t>
      </w:r>
      <w:r w:rsidR="00BA6955">
        <w:t xml:space="preserve">where </w:t>
      </w:r>
      <w:r>
        <w:t>require</w:t>
      </w:r>
      <w:r w:rsidR="00BA6955">
        <w:t>d</w:t>
      </w:r>
      <w:r w:rsidR="00A20BFE">
        <w:t xml:space="preserve"> </w:t>
      </w:r>
      <w:r>
        <w:t xml:space="preserve">back-off </w:t>
      </w:r>
      <w:r w:rsidR="00BA6955">
        <w:t xml:space="preserve">exceeds </w:t>
      </w:r>
      <w:r>
        <w:t>the specified MPR.</w:t>
      </w:r>
    </w:p>
    <w:p w14:paraId="7C0FA12A" w14:textId="5E65DB32" w:rsidR="00AB2813" w:rsidRDefault="00AB2813" w:rsidP="00104BE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E8D923D" wp14:editId="783009CB">
            <wp:extent cx="2638800" cy="1976400"/>
            <wp:effectExtent l="0" t="0" r="9525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800" cy="19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075E">
        <w:rPr>
          <w:noProof/>
        </w:rPr>
        <w:drawing>
          <wp:inline distT="0" distB="0" distL="0" distR="0" wp14:anchorId="0496FE89" wp14:editId="2FAF7A6E">
            <wp:extent cx="2638800" cy="1976400"/>
            <wp:effectExtent l="0" t="0" r="9525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800" cy="19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A9CC0" w14:textId="3D4F4C22" w:rsidR="00AB2813" w:rsidRDefault="00AB2813" w:rsidP="00AB2813">
      <w:pPr>
        <w:jc w:val="center"/>
        <w:rPr>
          <w:b/>
          <w:bCs/>
        </w:rPr>
      </w:pPr>
      <w:r w:rsidRPr="00F51D4B">
        <w:rPr>
          <w:b/>
          <w:bCs/>
        </w:rPr>
        <w:t>Figure 1: Example</w:t>
      </w:r>
      <w:r w:rsidR="007737CB">
        <w:rPr>
          <w:b/>
          <w:bCs/>
        </w:rPr>
        <w:t xml:space="preserve">s </w:t>
      </w:r>
      <w:r w:rsidRPr="00F51D4B">
        <w:rPr>
          <w:b/>
          <w:bCs/>
        </w:rPr>
        <w:t>of PC1 A-MPR for NS_04</w:t>
      </w:r>
      <w:r w:rsidR="00163F83">
        <w:rPr>
          <w:b/>
          <w:bCs/>
        </w:rPr>
        <w:t>,</w:t>
      </w:r>
      <w:r w:rsidR="007737CB">
        <w:rPr>
          <w:b/>
          <w:bCs/>
        </w:rPr>
        <w:t xml:space="preserve"> </w:t>
      </w:r>
      <w:r w:rsidR="00265C9C">
        <w:rPr>
          <w:b/>
          <w:bCs/>
        </w:rPr>
        <w:t>simulated at the lower edge of n41</w:t>
      </w:r>
      <w:r w:rsidR="00265C9C">
        <w:rPr>
          <w:b/>
          <w:bCs/>
        </w:rPr>
        <w:br/>
      </w:r>
      <w:r w:rsidR="007737CB">
        <w:rPr>
          <w:b/>
          <w:bCs/>
        </w:rPr>
        <w:t xml:space="preserve">(the plots </w:t>
      </w:r>
      <w:r w:rsidR="00E36965" w:rsidRPr="00F51D4B">
        <w:rPr>
          <w:b/>
          <w:bCs/>
        </w:rPr>
        <w:t>show only datapoints that exceed the MPR</w:t>
      </w:r>
      <w:r w:rsidR="007737CB">
        <w:rPr>
          <w:b/>
          <w:bCs/>
        </w:rPr>
        <w:t>)</w:t>
      </w:r>
    </w:p>
    <w:p w14:paraId="7A3F187D" w14:textId="77777777" w:rsidR="003A0FB9" w:rsidRPr="00F51D4B" w:rsidRDefault="003A0FB9" w:rsidP="00AB2813">
      <w:pPr>
        <w:jc w:val="center"/>
        <w:rPr>
          <w:b/>
          <w:bCs/>
        </w:rPr>
      </w:pPr>
    </w:p>
    <w:p w14:paraId="1ADE7224" w14:textId="7EB104DA" w:rsidR="00A022B4" w:rsidRDefault="00D6594D" w:rsidP="00A022B4">
      <w:r>
        <w:t xml:space="preserve">The </w:t>
      </w:r>
      <w:r w:rsidR="00A022B4">
        <w:t xml:space="preserve">RB allocations that require A-MPR can be divided </w:t>
      </w:r>
      <w:r w:rsidR="00806305">
        <w:t>in</w:t>
      </w:r>
      <w:r w:rsidR="00A022B4">
        <w:t>to the following regions:</w:t>
      </w:r>
    </w:p>
    <w:p w14:paraId="5AD7AD0F" w14:textId="0F0B9DA5" w:rsidR="00A022B4" w:rsidRDefault="00A022B4" w:rsidP="00A022B4">
      <w:r w:rsidRPr="00A022B4">
        <w:rPr>
          <w:b/>
          <w:bCs/>
        </w:rPr>
        <w:t>Edge region</w:t>
      </w:r>
      <w:r>
        <w:t xml:space="preserve">: </w:t>
      </w:r>
      <w:r w:rsidR="00C87AD5">
        <w:t>n</w:t>
      </w:r>
      <w:r>
        <w:t>arrow allocation</w:t>
      </w:r>
      <w:r w:rsidR="00AC6A05">
        <w:t>s</w:t>
      </w:r>
      <w:r>
        <w:t xml:space="preserve"> at lower channel edge, with spectral regrowth hitting the additional </w:t>
      </w:r>
      <w:r w:rsidR="00E60C26">
        <w:t>SEM</w:t>
      </w:r>
      <w:r w:rsidR="00104484">
        <w:t>; this region requires the largest A-MPR values.</w:t>
      </w:r>
    </w:p>
    <w:p w14:paraId="2C738E8A" w14:textId="3C30CE31" w:rsidR="00A022B4" w:rsidRDefault="00A022B4" w:rsidP="00A022B4">
      <w:r w:rsidRPr="00A022B4">
        <w:rPr>
          <w:b/>
          <w:bCs/>
        </w:rPr>
        <w:t>Regrowth region</w:t>
      </w:r>
      <w:r>
        <w:t xml:space="preserve">: </w:t>
      </w:r>
      <w:r w:rsidR="007B1117">
        <w:t xml:space="preserve">wide </w:t>
      </w:r>
      <w:r>
        <w:t xml:space="preserve">allocations </w:t>
      </w:r>
      <w:r w:rsidR="00E65A94">
        <w:t xml:space="preserve">at </w:t>
      </w:r>
      <w:r w:rsidR="00A24E5E">
        <w:t xml:space="preserve">or near </w:t>
      </w:r>
      <w:r w:rsidR="00E65A94">
        <w:t xml:space="preserve">lower channel edge </w:t>
      </w:r>
      <w:r>
        <w:t>with spectral regrowth hitting the additional spurious mask</w:t>
      </w:r>
    </w:p>
    <w:p w14:paraId="54ED0F05" w14:textId="22706968" w:rsidR="00A022B4" w:rsidRDefault="00A022B4" w:rsidP="00A022B4">
      <w:r w:rsidRPr="00A022B4">
        <w:rPr>
          <w:b/>
          <w:bCs/>
        </w:rPr>
        <w:t>IMD3 region</w:t>
      </w:r>
      <w:r>
        <w:t xml:space="preserve">: </w:t>
      </w:r>
      <w:r w:rsidR="00395173">
        <w:t>n</w:t>
      </w:r>
      <w:r>
        <w:t>arrow allocations near the lower channel edge with IMD3 (of allocation and its image) hitting the additional spurious mask</w:t>
      </w:r>
    </w:p>
    <w:p w14:paraId="71546631" w14:textId="2248F1BF" w:rsidR="00A022B4" w:rsidRDefault="00A022B4" w:rsidP="00A022B4">
      <w:r w:rsidRPr="00A022B4">
        <w:rPr>
          <w:b/>
          <w:bCs/>
        </w:rPr>
        <w:t>CIM3 region</w:t>
      </w:r>
      <w:r>
        <w:t xml:space="preserve">: </w:t>
      </w:r>
      <w:r w:rsidR="004A5D42">
        <w:t>n</w:t>
      </w:r>
      <w:r>
        <w:t>arrow allocations near the upper channel edge with CIM3 hitting the additional spurious mask</w:t>
      </w:r>
    </w:p>
    <w:p w14:paraId="0F94ADB9" w14:textId="2C545A65" w:rsidR="00A022B4" w:rsidRDefault="00A022B4" w:rsidP="00A022B4">
      <w:r>
        <w:t>The regrowth and IMD3 regions were already present in the NS_04 A-MPR definition for PC3</w:t>
      </w:r>
      <w:r w:rsidR="0077266D">
        <w:t>, PC2, and PC1.5</w:t>
      </w:r>
      <w:r w:rsidR="000F1C13">
        <w:t>.</w:t>
      </w:r>
      <w:r w:rsidR="00F257E8">
        <w:t xml:space="preserve"> For PC1, there are two new regions, the edge region and CIM3 region.</w:t>
      </w:r>
      <w:r w:rsidR="00E14E96">
        <w:t xml:space="preserve"> </w:t>
      </w:r>
      <w:r w:rsidR="0017673F">
        <w:t>The</w:t>
      </w:r>
      <w:r w:rsidR="00C569B3">
        <w:t xml:space="preserve"> a</w:t>
      </w:r>
      <w:r w:rsidR="00E14E96">
        <w:t xml:space="preserve">llocation regions </w:t>
      </w:r>
      <w:r w:rsidR="009D79EA">
        <w:t>are</w:t>
      </w:r>
      <w:r w:rsidR="00E14E96">
        <w:t xml:space="preserve"> depicted in Figure 2</w:t>
      </w:r>
      <w:r w:rsidR="00C569B3">
        <w:t xml:space="preserve">, following the way </w:t>
      </w:r>
      <w:r w:rsidR="00E727AE">
        <w:t xml:space="preserve">how </w:t>
      </w:r>
      <w:r w:rsidR="00C569B3">
        <w:t xml:space="preserve">the regions have been specified for PC3 </w:t>
      </w:r>
      <w:r w:rsidR="00C92CEA">
        <w:t>/</w:t>
      </w:r>
      <w:r w:rsidR="00C569B3">
        <w:t xml:space="preserve"> NS_04.</w:t>
      </w:r>
    </w:p>
    <w:p w14:paraId="57FBB7E0" w14:textId="51728942" w:rsidR="00F257E8" w:rsidRDefault="00F257E8" w:rsidP="00A022B4"/>
    <w:p w14:paraId="32088849" w14:textId="3709B702" w:rsidR="00F4359C" w:rsidRDefault="00F4359C" w:rsidP="00104BEC">
      <w:pPr>
        <w:keepNext/>
        <w:jc w:val="center"/>
      </w:pPr>
      <w:r w:rsidRPr="00F4359C">
        <w:rPr>
          <w:noProof/>
        </w:rPr>
        <w:drawing>
          <wp:inline distT="0" distB="0" distL="0" distR="0" wp14:anchorId="0590F07D" wp14:editId="03FDDAA0">
            <wp:extent cx="3729600" cy="27972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600" cy="27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4D76D" w14:textId="5C18A481" w:rsidR="00237558" w:rsidRDefault="00F4359C" w:rsidP="00117D87">
      <w:pPr>
        <w:jc w:val="center"/>
        <w:rPr>
          <w:b/>
          <w:bCs/>
        </w:rPr>
      </w:pPr>
      <w:r w:rsidRPr="006C1EB7">
        <w:rPr>
          <w:b/>
          <w:bCs/>
        </w:rPr>
        <w:t xml:space="preserve">Figure </w:t>
      </w:r>
      <w:r w:rsidR="003D3612">
        <w:rPr>
          <w:b/>
          <w:bCs/>
        </w:rPr>
        <w:t>2</w:t>
      </w:r>
      <w:r w:rsidRPr="006C1EB7">
        <w:rPr>
          <w:b/>
          <w:bCs/>
        </w:rPr>
        <w:t xml:space="preserve">: </w:t>
      </w:r>
      <w:r w:rsidR="003D3612">
        <w:rPr>
          <w:b/>
          <w:bCs/>
        </w:rPr>
        <w:t>Example of t</w:t>
      </w:r>
      <w:r w:rsidRPr="006C1EB7">
        <w:rPr>
          <w:b/>
          <w:bCs/>
        </w:rPr>
        <w:t>he allocation regions</w:t>
      </w:r>
      <w:r w:rsidR="000D78F6">
        <w:rPr>
          <w:b/>
          <w:bCs/>
        </w:rPr>
        <w:t xml:space="preserve">; </w:t>
      </w:r>
      <w:r w:rsidRPr="006C1EB7">
        <w:rPr>
          <w:b/>
          <w:bCs/>
        </w:rPr>
        <w:t xml:space="preserve">the edge region is </w:t>
      </w:r>
      <w:r w:rsidR="008D5A04">
        <w:rPr>
          <w:b/>
          <w:bCs/>
        </w:rPr>
        <w:t xml:space="preserve">too small to be </w:t>
      </w:r>
      <w:r w:rsidRPr="006C1EB7">
        <w:rPr>
          <w:b/>
          <w:bCs/>
        </w:rPr>
        <w:t>visible</w:t>
      </w:r>
      <w:r w:rsidR="000D78F6">
        <w:rPr>
          <w:b/>
          <w:bCs/>
        </w:rPr>
        <w:t>;</w:t>
      </w:r>
      <w:r w:rsidR="004610FC">
        <w:rPr>
          <w:b/>
          <w:bCs/>
        </w:rPr>
        <w:br/>
        <w:t>“MPR” indicates the region where no A-MPR is appli</w:t>
      </w:r>
      <w:r w:rsidR="00E80196">
        <w:rPr>
          <w:b/>
          <w:bCs/>
        </w:rPr>
        <w:t>cable.</w:t>
      </w:r>
    </w:p>
    <w:p w14:paraId="357A3F67" w14:textId="0A5FD84A" w:rsidR="00BC5928" w:rsidRPr="00117D87" w:rsidRDefault="00BC5928" w:rsidP="0038718D">
      <w:pPr>
        <w:rPr>
          <w:b/>
          <w:bCs/>
        </w:rPr>
      </w:pPr>
    </w:p>
    <w:p w14:paraId="2A6BFE31" w14:textId="19F9370C" w:rsidR="00682AA8" w:rsidRDefault="00682AA8" w:rsidP="00A022B4">
      <w:r>
        <w:t xml:space="preserve">The edge region applies only to the 100 MHz channel and only to the 1RB@0 allocation. This is caused by </w:t>
      </w:r>
      <w:r w:rsidR="00416BF1">
        <w:t xml:space="preserve">two reasons: (i) </w:t>
      </w:r>
      <w:r>
        <w:t xml:space="preserve">the small </w:t>
      </w:r>
      <w:r w:rsidR="00EE7228">
        <w:t xml:space="preserve">minimum </w:t>
      </w:r>
      <w:r>
        <w:t>guard band width</w:t>
      </w:r>
      <w:r w:rsidR="00F9042D">
        <w:t xml:space="preserve"> of the 100 MHz channel</w:t>
      </w:r>
      <w:r>
        <w:t xml:space="preserve"> </w:t>
      </w:r>
      <w:r w:rsidR="00416BF1">
        <w:t xml:space="preserve">and (ii) </w:t>
      </w:r>
      <w:r>
        <w:t>the fact that in the nearest NS_04 spurious mask segment, the measurement bandwidth is proportional to channel bandwidth</w:t>
      </w:r>
      <w:r w:rsidR="007037B0">
        <w:t>, thus being stricter for wider bandwidths.</w:t>
      </w:r>
    </w:p>
    <w:p w14:paraId="6EE8272E" w14:textId="6E4F65D3" w:rsidR="001B3DC9" w:rsidRDefault="004B7212" w:rsidP="001B3DC9">
      <w:r>
        <w:lastRenderedPageBreak/>
        <w:t xml:space="preserve">Figure </w:t>
      </w:r>
      <w:r w:rsidR="00F17D84" w:rsidRPr="00F17D84">
        <w:t>3</w:t>
      </w:r>
      <w:r>
        <w:t xml:space="preserve"> shows the parameter </w:t>
      </w:r>
      <w:r w:rsidR="009331D5" w:rsidRPr="00A1115A">
        <w:rPr>
          <w:rFonts w:ascii="Symbol" w:hAnsi="Symbol"/>
          <w:lang w:val="en-US"/>
        </w:rPr>
        <w:t></w:t>
      </w:r>
      <w:r w:rsidR="009331D5" w:rsidRPr="00A1115A">
        <w:rPr>
          <w:vertAlign w:val="subscript"/>
          <w:lang w:val="en-US"/>
        </w:rPr>
        <w:t>start</w:t>
      </w:r>
      <w:r w:rsidR="009331D5">
        <w:t xml:space="preserve"> </w:t>
      </w:r>
      <w:r>
        <w:t xml:space="preserve">which defines the </w:t>
      </w:r>
      <w:r w:rsidR="00C57C27">
        <w:t xml:space="preserve">position of the </w:t>
      </w:r>
      <w:r>
        <w:t>right-hand edge of the regrowth region</w:t>
      </w:r>
      <w:r w:rsidR="00EC5C5D">
        <w:t xml:space="preserve"> in the NS_04 A-MPR definition for PC3</w:t>
      </w:r>
      <w:r w:rsidR="00C83CFB">
        <w:t xml:space="preserve"> (</w:t>
      </w:r>
      <w:r w:rsidR="00D62BF5">
        <w:t xml:space="preserve">shown as red in </w:t>
      </w:r>
      <w:r w:rsidR="00C83CFB">
        <w:t>Figure 2)</w:t>
      </w:r>
      <w:r>
        <w:t xml:space="preserve">. </w:t>
      </w:r>
      <w:r w:rsidR="005466B1">
        <w:t>At first sight, t</w:t>
      </w:r>
      <w:r w:rsidR="00237558">
        <w:t xml:space="preserve">he </w:t>
      </w:r>
      <w:r w:rsidR="00E61FFC">
        <w:t xml:space="preserve">simulated </w:t>
      </w:r>
      <w:r w:rsidR="00237558">
        <w:t xml:space="preserve">curves look </w:t>
      </w:r>
      <w:r w:rsidR="00A62CC0">
        <w:t>suspicio</w:t>
      </w:r>
      <w:r w:rsidR="005B64D9">
        <w:t>u</w:t>
      </w:r>
      <w:r w:rsidR="0087085E">
        <w:t>sly</w:t>
      </w:r>
      <w:r w:rsidR="00A62CC0">
        <w:t xml:space="preserve"> </w:t>
      </w:r>
      <w:r w:rsidR="00237558">
        <w:t xml:space="preserve">inconsistent, </w:t>
      </w:r>
      <w:r w:rsidR="003F391E">
        <w:t xml:space="preserve">with </w:t>
      </w:r>
      <w:r w:rsidR="00237558">
        <w:t>the values of</w:t>
      </w:r>
      <w:r w:rsidR="009A6F2E">
        <w:rPr>
          <w:color w:val="FF0000"/>
        </w:rPr>
        <w:t xml:space="preserve"> </w:t>
      </w:r>
      <w:r w:rsidR="009A6F2E" w:rsidRPr="00A1115A">
        <w:rPr>
          <w:rFonts w:ascii="Symbol" w:hAnsi="Symbol"/>
          <w:lang w:val="en-US"/>
        </w:rPr>
        <w:t></w:t>
      </w:r>
      <w:r w:rsidR="009A6F2E" w:rsidRPr="00A1115A">
        <w:rPr>
          <w:vertAlign w:val="subscript"/>
          <w:lang w:val="en-US"/>
        </w:rPr>
        <w:t>start</w:t>
      </w:r>
      <w:r w:rsidR="009A6F2E">
        <w:t xml:space="preserve"> </w:t>
      </w:r>
      <w:r w:rsidR="00237558">
        <w:t>fluctuat</w:t>
      </w:r>
      <w:r w:rsidR="003F391E">
        <w:t>ing</w:t>
      </w:r>
      <w:r w:rsidR="00237558">
        <w:t xml:space="preserve"> up and down as function of channel bandwidth. However, the reason for </w:t>
      </w:r>
      <w:r w:rsidR="00BD2459">
        <w:t xml:space="preserve">the </w:t>
      </w:r>
      <w:r w:rsidR="00237558">
        <w:t>apparent inconsistency is the inconsistent minimum guard</w:t>
      </w:r>
      <w:r w:rsidR="00BD2459">
        <w:t xml:space="preserve"> band widths</w:t>
      </w:r>
      <w:r w:rsidR="00237558">
        <w:t xml:space="preserve"> </w:t>
      </w:r>
      <w:r w:rsidR="00BD2459">
        <w:t>(</w:t>
      </w:r>
      <w:r w:rsidR="00237558">
        <w:t xml:space="preserve">TS 38.101-1, </w:t>
      </w:r>
      <w:r w:rsidR="00237558" w:rsidRPr="00237558">
        <w:t>Table 5.3.3-1</w:t>
      </w:r>
      <w:r w:rsidR="00237558">
        <w:t>)</w:t>
      </w:r>
      <w:r w:rsidR="00BD2459">
        <w:t>. The rising trend</w:t>
      </w:r>
      <w:r w:rsidR="00F9042D">
        <w:t xml:space="preserve"> of the curves</w:t>
      </w:r>
      <w:r w:rsidR="00BD2459">
        <w:t xml:space="preserve"> can be explained by </w:t>
      </w:r>
      <w:r w:rsidR="000B16E1">
        <w:t xml:space="preserve">the fact that </w:t>
      </w:r>
      <w:r w:rsidR="00BD2459">
        <w:t>the measurement bandwidth</w:t>
      </w:r>
      <w:r w:rsidR="00F9042D">
        <w:t xml:space="preserve">s </w:t>
      </w:r>
      <w:r w:rsidR="000B16E1">
        <w:t xml:space="preserve">are </w:t>
      </w:r>
      <w:r w:rsidR="00BD2459">
        <w:t>proportional to channel bandwidth.</w:t>
      </w:r>
    </w:p>
    <w:p w14:paraId="3EF7648C" w14:textId="1300D31E" w:rsidR="002B016E" w:rsidRDefault="002B016E" w:rsidP="002B016E">
      <w:r>
        <w:t xml:space="preserve">To avoid A-MPR in the regrowth region, a frequency offset is needed between the lower edge of n41 and </w:t>
      </w:r>
      <w:r w:rsidR="00D06FCD">
        <w:t xml:space="preserve">lower </w:t>
      </w:r>
      <w:r>
        <w:t xml:space="preserve">channel edge. </w:t>
      </w:r>
      <w:r w:rsidR="0063193A">
        <w:t>The needed</w:t>
      </w:r>
      <w:r>
        <w:t xml:space="preserve"> offset is shown in Figure 4.</w:t>
      </w:r>
    </w:p>
    <w:p w14:paraId="1062F255" w14:textId="77777777" w:rsidR="002B016E" w:rsidRDefault="002B016E" w:rsidP="001B3DC9"/>
    <w:p w14:paraId="2008783A" w14:textId="06FB39E1" w:rsidR="006065A7" w:rsidRPr="006065A7" w:rsidRDefault="006065A7" w:rsidP="001B3DC9">
      <w:r>
        <w:tab/>
      </w:r>
    </w:p>
    <w:p w14:paraId="6978E68E" w14:textId="4EF5B123" w:rsidR="005B64D9" w:rsidRDefault="00B316D9" w:rsidP="00104BEC">
      <w:pPr>
        <w:keepNext/>
        <w:jc w:val="center"/>
      </w:pPr>
      <w:r w:rsidRPr="00B316D9">
        <w:rPr>
          <w:noProof/>
        </w:rPr>
        <w:drawing>
          <wp:inline distT="0" distB="0" distL="0" distR="0" wp14:anchorId="5DD52462" wp14:editId="7B0D795C">
            <wp:extent cx="3726000" cy="2793600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000" cy="27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F04D4" w14:textId="089893EE" w:rsidR="00025CB7" w:rsidRDefault="00025CB7" w:rsidP="00025CB7">
      <w:pPr>
        <w:jc w:val="center"/>
        <w:rPr>
          <w:b/>
          <w:bCs/>
        </w:rPr>
      </w:pPr>
      <w:r w:rsidRPr="00025CB7">
        <w:rPr>
          <w:b/>
          <w:bCs/>
        </w:rPr>
        <w:t xml:space="preserve">Figure </w:t>
      </w:r>
      <w:r w:rsidR="00491FC7">
        <w:rPr>
          <w:b/>
          <w:bCs/>
        </w:rPr>
        <w:t>3</w:t>
      </w:r>
      <w:r w:rsidRPr="00025CB7">
        <w:rPr>
          <w:b/>
          <w:bCs/>
        </w:rPr>
        <w:t xml:space="preserve">: Parameter </w:t>
      </w:r>
      <w:r w:rsidR="00180662" w:rsidRPr="00A1115A">
        <w:rPr>
          <w:rFonts w:ascii="Symbol" w:hAnsi="Symbol"/>
          <w:lang w:val="en-US"/>
        </w:rPr>
        <w:t></w:t>
      </w:r>
      <w:r w:rsidR="00180662" w:rsidRPr="00A1115A">
        <w:rPr>
          <w:vertAlign w:val="subscript"/>
          <w:lang w:val="en-US"/>
        </w:rPr>
        <w:t>start</w:t>
      </w:r>
      <w:r w:rsidR="00180662" w:rsidRPr="00025CB7">
        <w:rPr>
          <w:b/>
          <w:bCs/>
        </w:rPr>
        <w:t xml:space="preserve"> </w:t>
      </w:r>
      <w:r w:rsidRPr="00025CB7">
        <w:rPr>
          <w:b/>
          <w:bCs/>
        </w:rPr>
        <w:t>for the regrowth region</w:t>
      </w:r>
      <w:r w:rsidR="004422E1">
        <w:rPr>
          <w:b/>
          <w:bCs/>
        </w:rPr>
        <w:t xml:space="preserve"> (from TS 38.101-1, </w:t>
      </w:r>
      <w:r w:rsidR="002650DA">
        <w:rPr>
          <w:b/>
          <w:bCs/>
        </w:rPr>
        <w:t xml:space="preserve">subclause </w:t>
      </w:r>
      <w:r w:rsidR="00AD360B" w:rsidRPr="00AD360B">
        <w:rPr>
          <w:b/>
          <w:bCs/>
        </w:rPr>
        <w:t>6.2.3.2</w:t>
      </w:r>
      <w:r w:rsidR="004422E1">
        <w:rPr>
          <w:b/>
          <w:bCs/>
        </w:rPr>
        <w:t>)</w:t>
      </w:r>
    </w:p>
    <w:p w14:paraId="5485A44F" w14:textId="77777777" w:rsidR="00382E20" w:rsidRDefault="00382E20" w:rsidP="00382E20"/>
    <w:p w14:paraId="52288B73" w14:textId="669D1AA2" w:rsidR="00DA7C24" w:rsidRDefault="00B25CB5" w:rsidP="00104BEC">
      <w:pPr>
        <w:keepNext/>
        <w:jc w:val="center"/>
        <w:rPr>
          <w:b/>
          <w:bCs/>
        </w:rPr>
      </w:pPr>
      <w:r w:rsidRPr="00B25CB5">
        <w:rPr>
          <w:noProof/>
        </w:rPr>
        <w:drawing>
          <wp:inline distT="0" distB="0" distL="0" distR="0" wp14:anchorId="0E3167A7" wp14:editId="2711880D">
            <wp:extent cx="3726000" cy="2793600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000" cy="27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4D8F0" w14:textId="7C7D2475" w:rsidR="00DA7C24" w:rsidRDefault="00DA7C24" w:rsidP="00025CB7">
      <w:pPr>
        <w:jc w:val="center"/>
        <w:rPr>
          <w:b/>
          <w:bCs/>
        </w:rPr>
      </w:pPr>
      <w:r>
        <w:rPr>
          <w:b/>
          <w:bCs/>
        </w:rPr>
        <w:t xml:space="preserve">Figure </w:t>
      </w:r>
      <w:r w:rsidR="00FB1F7E">
        <w:rPr>
          <w:b/>
          <w:bCs/>
        </w:rPr>
        <w:t>4</w:t>
      </w:r>
      <w:r>
        <w:rPr>
          <w:b/>
          <w:bCs/>
        </w:rPr>
        <w:t xml:space="preserve">: Frequency offset </w:t>
      </w:r>
      <w:r w:rsidR="00584C06">
        <w:rPr>
          <w:b/>
          <w:bCs/>
        </w:rPr>
        <w:t>needed to avoid A-MPR in the regrowth region</w:t>
      </w:r>
    </w:p>
    <w:p w14:paraId="16E843E5" w14:textId="67816E2C" w:rsidR="00896DC4" w:rsidRDefault="00896DC4" w:rsidP="00025CB7">
      <w:pPr>
        <w:jc w:val="center"/>
        <w:rPr>
          <w:b/>
          <w:bCs/>
        </w:rPr>
      </w:pPr>
    </w:p>
    <w:p w14:paraId="6B6C80D9" w14:textId="1A0673CD" w:rsidR="00896DC4" w:rsidRPr="007731A1" w:rsidRDefault="00864A18" w:rsidP="00AE7FEC">
      <w:r>
        <w:t>I</w:t>
      </w:r>
      <w:r>
        <w:t>n the IMD3 region</w:t>
      </w:r>
      <w:r>
        <w:t>, t</w:t>
      </w:r>
      <w:r w:rsidR="001E6F92" w:rsidRPr="007731A1">
        <w:t xml:space="preserve">he maximum </w:t>
      </w:r>
      <w:r w:rsidR="007731A1">
        <w:t>allocation bandwidth that requires A-MPR is shown in Figure 5.</w:t>
      </w:r>
      <w:r w:rsidR="00210EFE">
        <w:t xml:space="preserve"> </w:t>
      </w:r>
      <w:r w:rsidR="0077449C">
        <w:t xml:space="preserve">The step </w:t>
      </w:r>
      <w:r w:rsidR="00891EC8">
        <w:t xml:space="preserve">in </w:t>
      </w:r>
      <w:r w:rsidR="0077449C">
        <w:t>simulated value</w:t>
      </w:r>
      <w:r w:rsidR="00891EC8">
        <w:t>s</w:t>
      </w:r>
      <w:r w:rsidR="0077449C">
        <w:t xml:space="preserve"> for </w:t>
      </w:r>
      <w:r w:rsidR="00876BEF">
        <w:t xml:space="preserve">OFDM </w:t>
      </w:r>
      <w:r w:rsidR="003877EE">
        <w:t xml:space="preserve">between 50 and 60 MHz </w:t>
      </w:r>
      <w:r w:rsidR="00876BEF">
        <w:t>is caused by the change of minimum SCS from 15 kHz to 30 kHz.</w:t>
      </w:r>
      <w:r w:rsidR="00F45C55">
        <w:t xml:space="preserve"> </w:t>
      </w:r>
      <w:r w:rsidR="00F45C55" w:rsidRPr="00366B4C">
        <w:t xml:space="preserve">The </w:t>
      </w:r>
      <w:r w:rsidR="0056514B">
        <w:t xml:space="preserve">highest allocation position </w:t>
      </w:r>
      <w:r w:rsidR="00F45C55">
        <w:t>for the IMD3</w:t>
      </w:r>
      <w:r w:rsidR="00EA6FAE">
        <w:t xml:space="preserve"> region</w:t>
      </w:r>
      <w:r w:rsidR="00F45C55">
        <w:t xml:space="preserve"> is determined by </w:t>
      </w:r>
      <w:r w:rsidR="00BD7347">
        <w:t>whether the IMD3 emission reaches the stricte</w:t>
      </w:r>
      <w:r w:rsidR="00213E45">
        <w:t>st</w:t>
      </w:r>
      <w:r w:rsidR="00BD7347">
        <w:t xml:space="preserve"> segment</w:t>
      </w:r>
      <w:r w:rsidR="00DB3480">
        <w:t xml:space="preserve"> of the additional spurious mask</w:t>
      </w:r>
      <w:r w:rsidR="00F45C55">
        <w:t xml:space="preserve">. This is shown in Figure 6. Figure 7 shows the frequency offset </w:t>
      </w:r>
      <w:r w:rsidR="00723F0B">
        <w:t xml:space="preserve">needed </w:t>
      </w:r>
      <w:r w:rsidR="00F45C55">
        <w:t xml:space="preserve">for avoiding IMD3-based A-MPR. </w:t>
      </w:r>
    </w:p>
    <w:p w14:paraId="0E59C05A" w14:textId="04FE6B1E" w:rsidR="00541532" w:rsidRDefault="00104BEC" w:rsidP="00104BEC">
      <w:pPr>
        <w:keepNext/>
        <w:tabs>
          <w:tab w:val="center" w:pos="4819"/>
          <w:tab w:val="left" w:pos="8371"/>
        </w:tabs>
        <w:rPr>
          <w:b/>
          <w:bCs/>
        </w:rPr>
      </w:pPr>
      <w:r>
        <w:rPr>
          <w:b/>
          <w:bCs/>
          <w:noProof/>
        </w:rPr>
        <w:lastRenderedPageBreak/>
        <w:tab/>
      </w:r>
      <w:r w:rsidR="003A33F4" w:rsidRPr="003A33F4">
        <w:rPr>
          <w:b/>
          <w:bCs/>
          <w:noProof/>
        </w:rPr>
        <w:t xml:space="preserve"> </w:t>
      </w:r>
      <w:r w:rsidR="003A33F4" w:rsidRPr="003A33F4">
        <w:rPr>
          <w:b/>
          <w:bCs/>
          <w:noProof/>
        </w:rPr>
        <w:drawing>
          <wp:inline distT="0" distB="0" distL="0" distR="0" wp14:anchorId="603E91C2" wp14:editId="4E8B09F9">
            <wp:extent cx="3726000" cy="2793600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000" cy="27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tab/>
      </w:r>
    </w:p>
    <w:p w14:paraId="6C756AD8" w14:textId="472D194A" w:rsidR="00366B4C" w:rsidRPr="00157A2C" w:rsidRDefault="00541532" w:rsidP="00157A2C">
      <w:pPr>
        <w:jc w:val="center"/>
        <w:rPr>
          <w:b/>
          <w:bCs/>
        </w:rPr>
      </w:pPr>
      <w:r>
        <w:rPr>
          <w:b/>
          <w:bCs/>
        </w:rPr>
        <w:t xml:space="preserve">Figure </w:t>
      </w:r>
      <w:r w:rsidR="005B174A">
        <w:rPr>
          <w:b/>
          <w:bCs/>
        </w:rPr>
        <w:t>5</w:t>
      </w:r>
      <w:r>
        <w:rPr>
          <w:b/>
          <w:bCs/>
        </w:rPr>
        <w:t>: Maximum allocation bandwidth for IMD3 region</w:t>
      </w:r>
    </w:p>
    <w:p w14:paraId="7B084E71" w14:textId="11B2A341" w:rsidR="002D3783" w:rsidRDefault="000F24DD" w:rsidP="00ED13D9">
      <w:pPr>
        <w:keepNext/>
        <w:jc w:val="center"/>
        <w:rPr>
          <w:b/>
          <w:bCs/>
        </w:rPr>
      </w:pPr>
      <w:r w:rsidRPr="000F24DD">
        <w:rPr>
          <w:b/>
          <w:bCs/>
          <w:noProof/>
        </w:rPr>
        <w:drawing>
          <wp:inline distT="0" distB="0" distL="0" distR="0" wp14:anchorId="1D6A7CBF" wp14:editId="60D4DF87">
            <wp:extent cx="3726000" cy="2793600"/>
            <wp:effectExtent l="0" t="0" r="0" b="698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000" cy="27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20DBF" w14:textId="156DA75A" w:rsidR="002D3783" w:rsidRDefault="002D3783" w:rsidP="00025CB7">
      <w:pPr>
        <w:jc w:val="center"/>
        <w:rPr>
          <w:b/>
          <w:bCs/>
        </w:rPr>
      </w:pPr>
      <w:r>
        <w:rPr>
          <w:b/>
          <w:bCs/>
        </w:rPr>
        <w:t xml:space="preserve">Figure </w:t>
      </w:r>
      <w:r w:rsidR="008F13FF">
        <w:rPr>
          <w:b/>
          <w:bCs/>
        </w:rPr>
        <w:t>6</w:t>
      </w:r>
      <w:r>
        <w:rPr>
          <w:b/>
          <w:bCs/>
        </w:rPr>
        <w:t>: Maximum RBstart for IMD3 region</w:t>
      </w:r>
    </w:p>
    <w:p w14:paraId="71C930A9" w14:textId="77777777" w:rsidR="00003D80" w:rsidRDefault="00003D80" w:rsidP="00003D80">
      <w:pPr>
        <w:rPr>
          <w:b/>
          <w:bCs/>
        </w:rPr>
      </w:pPr>
    </w:p>
    <w:p w14:paraId="5CC1D756" w14:textId="0794EBBB" w:rsidR="002D3783" w:rsidRDefault="00C277D7" w:rsidP="00ED13D9">
      <w:pPr>
        <w:keepNext/>
        <w:jc w:val="center"/>
        <w:rPr>
          <w:b/>
          <w:bCs/>
        </w:rPr>
      </w:pPr>
      <w:r w:rsidRPr="00C277D7">
        <w:rPr>
          <w:b/>
          <w:bCs/>
          <w:noProof/>
        </w:rPr>
        <w:drawing>
          <wp:inline distT="0" distB="0" distL="0" distR="0" wp14:anchorId="1A3423F5" wp14:editId="40005D46">
            <wp:extent cx="3726000" cy="2793600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000" cy="27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8728F" w14:textId="66586DB4" w:rsidR="00C242DF" w:rsidRDefault="00D2151E" w:rsidP="00D2151E">
      <w:pPr>
        <w:tabs>
          <w:tab w:val="center" w:pos="4819"/>
          <w:tab w:val="right" w:pos="9639"/>
        </w:tabs>
        <w:rPr>
          <w:b/>
          <w:bCs/>
        </w:rPr>
      </w:pPr>
      <w:r>
        <w:rPr>
          <w:b/>
          <w:bCs/>
        </w:rPr>
        <w:tab/>
      </w:r>
      <w:r w:rsidR="00C242DF">
        <w:rPr>
          <w:b/>
          <w:bCs/>
        </w:rPr>
        <w:t xml:space="preserve">Figure </w:t>
      </w:r>
      <w:r w:rsidR="00BA2530">
        <w:rPr>
          <w:b/>
          <w:bCs/>
        </w:rPr>
        <w:t>7</w:t>
      </w:r>
      <w:r w:rsidR="00C242DF">
        <w:rPr>
          <w:b/>
          <w:bCs/>
        </w:rPr>
        <w:t xml:space="preserve">: Frequency offset </w:t>
      </w:r>
      <w:r w:rsidR="007A3C2F">
        <w:rPr>
          <w:b/>
          <w:bCs/>
        </w:rPr>
        <w:t xml:space="preserve">needed to </w:t>
      </w:r>
      <w:r w:rsidR="00C242DF">
        <w:rPr>
          <w:b/>
          <w:bCs/>
        </w:rPr>
        <w:t>avoid A-MPR in the IMD3 region</w:t>
      </w:r>
    </w:p>
    <w:p w14:paraId="304D0FD3" w14:textId="1764D58A" w:rsidR="00633C65" w:rsidRPr="00633C65" w:rsidRDefault="00633C65" w:rsidP="00633C65"/>
    <w:p w14:paraId="04D9C7DD" w14:textId="314EE494" w:rsidR="00633C65" w:rsidRPr="00633C65" w:rsidRDefault="00790D82" w:rsidP="00001D69">
      <w:r>
        <w:t xml:space="preserve">Figure 8 presents the maximum allocation bandwidth in the CIM3 region. </w:t>
      </w:r>
      <w:r w:rsidRPr="00366B4C">
        <w:t xml:space="preserve">The </w:t>
      </w:r>
      <w:r>
        <w:t>reach of CIM3 is determined by the distance of the allocation from the upper channel edge</w:t>
      </w:r>
      <w:r w:rsidR="00895F8B">
        <w:t>, in a manner analogous to IMD3. This is</w:t>
      </w:r>
      <w:r>
        <w:t xml:space="preserve"> shown in Figure 9.</w:t>
      </w:r>
      <w:r w:rsidR="00001D69">
        <w:t xml:space="preserve"> </w:t>
      </w:r>
      <w:r w:rsidR="00001D69" w:rsidRPr="00BB4190">
        <w:t xml:space="preserve">The </w:t>
      </w:r>
      <w:r w:rsidR="00001D69">
        <w:t>frequency offset needed to avoid A-MPR in the CIM3 region is shown in Figure 10.</w:t>
      </w:r>
    </w:p>
    <w:p w14:paraId="70A6B52C" w14:textId="1203D05B" w:rsidR="00D2151E" w:rsidRDefault="00B36EE5" w:rsidP="00ED13D9">
      <w:pPr>
        <w:keepNext/>
        <w:tabs>
          <w:tab w:val="center" w:pos="4819"/>
          <w:tab w:val="right" w:pos="9639"/>
        </w:tabs>
        <w:jc w:val="center"/>
        <w:rPr>
          <w:b/>
          <w:bCs/>
        </w:rPr>
      </w:pPr>
      <w:r w:rsidRPr="00B36EE5">
        <w:rPr>
          <w:b/>
          <w:bCs/>
          <w:noProof/>
        </w:rPr>
        <w:drawing>
          <wp:inline distT="0" distB="0" distL="0" distR="0" wp14:anchorId="53019792" wp14:editId="42D35212">
            <wp:extent cx="3726000" cy="2793600"/>
            <wp:effectExtent l="0" t="0" r="0" b="698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000" cy="27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3AC28" w14:textId="5923CE0A" w:rsidR="00D2151E" w:rsidRDefault="00D2151E" w:rsidP="00D2151E">
      <w:pPr>
        <w:tabs>
          <w:tab w:val="center" w:pos="4819"/>
          <w:tab w:val="right" w:pos="9639"/>
        </w:tabs>
        <w:jc w:val="center"/>
        <w:rPr>
          <w:b/>
          <w:bCs/>
        </w:rPr>
      </w:pPr>
      <w:r>
        <w:rPr>
          <w:b/>
          <w:bCs/>
        </w:rPr>
        <w:t xml:space="preserve">Figure </w:t>
      </w:r>
      <w:r w:rsidR="00F5605E">
        <w:rPr>
          <w:b/>
          <w:bCs/>
        </w:rPr>
        <w:t>8</w:t>
      </w:r>
      <w:r>
        <w:rPr>
          <w:b/>
          <w:bCs/>
        </w:rPr>
        <w:t>: Maximum allocation bandwidth for CIM3 region</w:t>
      </w:r>
    </w:p>
    <w:p w14:paraId="4DA438FD" w14:textId="302B1635" w:rsidR="003B7C21" w:rsidRDefault="003B7C21" w:rsidP="003B7C21">
      <w:pPr>
        <w:tabs>
          <w:tab w:val="center" w:pos="4819"/>
          <w:tab w:val="right" w:pos="9639"/>
        </w:tabs>
        <w:rPr>
          <w:b/>
          <w:bCs/>
        </w:rPr>
      </w:pPr>
    </w:p>
    <w:p w14:paraId="76C89FA6" w14:textId="6899FAD4" w:rsidR="00C242DF" w:rsidRDefault="00633C65" w:rsidP="00ED13D9">
      <w:pPr>
        <w:keepNext/>
        <w:jc w:val="center"/>
        <w:rPr>
          <w:b/>
          <w:bCs/>
        </w:rPr>
      </w:pPr>
      <w:r w:rsidRPr="00633C65">
        <w:rPr>
          <w:b/>
          <w:bCs/>
          <w:noProof/>
        </w:rPr>
        <w:drawing>
          <wp:inline distT="0" distB="0" distL="0" distR="0" wp14:anchorId="3D295596" wp14:editId="74CC9C6D">
            <wp:extent cx="3726000" cy="2793600"/>
            <wp:effectExtent l="0" t="0" r="0" b="698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000" cy="27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E947C" w14:textId="6568168B" w:rsidR="00B1173A" w:rsidRDefault="00B1173A" w:rsidP="00025CB7">
      <w:pPr>
        <w:jc w:val="center"/>
        <w:rPr>
          <w:b/>
          <w:bCs/>
        </w:rPr>
      </w:pPr>
      <w:r>
        <w:rPr>
          <w:b/>
          <w:bCs/>
        </w:rPr>
        <w:t xml:space="preserve">Figure </w:t>
      </w:r>
      <w:r w:rsidR="00F160B9">
        <w:rPr>
          <w:b/>
          <w:bCs/>
        </w:rPr>
        <w:t>9</w:t>
      </w:r>
      <w:r>
        <w:rPr>
          <w:b/>
          <w:bCs/>
        </w:rPr>
        <w:t>: Maximum bandwidth of unallocated RBs above the allocation</w:t>
      </w:r>
    </w:p>
    <w:p w14:paraId="40BA9930" w14:textId="5193909E" w:rsidR="00BB4190" w:rsidRDefault="00BB4190" w:rsidP="00BB4190">
      <w:pPr>
        <w:rPr>
          <w:b/>
          <w:bCs/>
        </w:rPr>
      </w:pPr>
    </w:p>
    <w:p w14:paraId="5AB9A876" w14:textId="63FEB314" w:rsidR="008A698E" w:rsidRDefault="00531B21" w:rsidP="00ED13D9">
      <w:pPr>
        <w:keepNext/>
        <w:jc w:val="center"/>
        <w:rPr>
          <w:b/>
          <w:bCs/>
        </w:rPr>
      </w:pPr>
      <w:r w:rsidRPr="00531B21">
        <w:rPr>
          <w:b/>
          <w:bCs/>
          <w:noProof/>
        </w:rPr>
        <w:lastRenderedPageBreak/>
        <w:drawing>
          <wp:inline distT="0" distB="0" distL="0" distR="0" wp14:anchorId="7FCA3C2C" wp14:editId="4F56C9B6">
            <wp:extent cx="3726000" cy="2793600"/>
            <wp:effectExtent l="0" t="0" r="0" b="698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000" cy="27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4C720" w14:textId="084114B3" w:rsidR="007F54FC" w:rsidRDefault="00871BB5" w:rsidP="00025CB7">
      <w:pPr>
        <w:jc w:val="center"/>
        <w:rPr>
          <w:b/>
          <w:bCs/>
        </w:rPr>
      </w:pPr>
      <w:r>
        <w:rPr>
          <w:b/>
          <w:bCs/>
        </w:rPr>
        <w:tab/>
        <w:t xml:space="preserve">Figure </w:t>
      </w:r>
      <w:r w:rsidR="00462A04">
        <w:rPr>
          <w:b/>
          <w:bCs/>
        </w:rPr>
        <w:t>10</w:t>
      </w:r>
      <w:r>
        <w:rPr>
          <w:b/>
          <w:bCs/>
        </w:rPr>
        <w:t xml:space="preserve">: Frequency offset </w:t>
      </w:r>
      <w:r w:rsidR="00281065">
        <w:rPr>
          <w:b/>
          <w:bCs/>
        </w:rPr>
        <w:t xml:space="preserve">needed to </w:t>
      </w:r>
      <w:r>
        <w:rPr>
          <w:b/>
          <w:bCs/>
        </w:rPr>
        <w:t>avoid A-MPR in the CIM3 region</w:t>
      </w:r>
    </w:p>
    <w:p w14:paraId="1DCED590" w14:textId="77777777" w:rsidR="00E35267" w:rsidRDefault="00E35267" w:rsidP="00885116"/>
    <w:p w14:paraId="193A4D4E" w14:textId="74BA98EF" w:rsidR="00C051F0" w:rsidRPr="00885116" w:rsidRDefault="00885116" w:rsidP="00885116">
      <w:r w:rsidRPr="00885116">
        <w:t xml:space="preserve">Finally, </w:t>
      </w:r>
      <w:r>
        <w:t xml:space="preserve">Table 1 </w:t>
      </w:r>
      <w:r w:rsidR="00590350">
        <w:t>shows</w:t>
      </w:r>
      <w:r>
        <w:t xml:space="preserve"> the </w:t>
      </w:r>
      <w:r w:rsidR="00590350">
        <w:t xml:space="preserve">maximum </w:t>
      </w:r>
      <w:r>
        <w:t xml:space="preserve">required A-MPR </w:t>
      </w:r>
      <w:r w:rsidR="00CC1449">
        <w:t xml:space="preserve">for each waveform and modulation </w:t>
      </w:r>
      <w:r w:rsidR="008C05AD">
        <w:t>in each allocation region.</w:t>
      </w:r>
      <w:r w:rsidR="00E9437E">
        <w:t xml:space="preserve"> These A-MPR values should be applied </w:t>
      </w:r>
      <w:r w:rsidR="00CE0AF3">
        <w:t>unless</w:t>
      </w:r>
      <w:r w:rsidR="00E9437E">
        <w:t xml:space="preserve"> </w:t>
      </w:r>
      <w:r w:rsidR="00CE0AF3">
        <w:t xml:space="preserve">a </w:t>
      </w:r>
      <w:r w:rsidR="00E9437E">
        <w:t xml:space="preserve">frequency offset from lower band edge </w:t>
      </w:r>
      <w:r w:rsidR="00CE0AF3">
        <w:t>prevents violating the additional spurious emission mask</w:t>
      </w:r>
      <w:r w:rsidR="00E9437E">
        <w:t>.</w:t>
      </w:r>
      <w:r w:rsidR="004E7975">
        <w:t xml:space="preserve"> N/A in the table means that no A-MPR is needed.</w:t>
      </w:r>
    </w:p>
    <w:p w14:paraId="3CE636C1" w14:textId="02075220" w:rsidR="00FE1132" w:rsidRPr="00D05D79" w:rsidRDefault="00FE1132" w:rsidP="00FE1132">
      <w:pPr>
        <w:pStyle w:val="TH"/>
        <w:rPr>
          <w:bCs/>
        </w:rPr>
      </w:pPr>
      <w:r w:rsidRPr="00D05D79">
        <w:rPr>
          <w:bCs/>
        </w:rPr>
        <w:t>Table</w:t>
      </w:r>
      <w:r>
        <w:rPr>
          <w:bCs/>
        </w:rPr>
        <w:t xml:space="preserve"> 1</w:t>
      </w:r>
      <w:r w:rsidRPr="00D05D79">
        <w:rPr>
          <w:bCs/>
        </w:rPr>
        <w:t>: A-MPR values for PC1</w:t>
      </w:r>
    </w:p>
    <w:tbl>
      <w:tblPr>
        <w:tblW w:w="664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1"/>
        <w:gridCol w:w="1559"/>
        <w:gridCol w:w="1039"/>
        <w:gridCol w:w="1040"/>
        <w:gridCol w:w="1039"/>
        <w:gridCol w:w="1040"/>
      </w:tblGrid>
      <w:tr w:rsidR="00FE1132" w:rsidRPr="00D05D79" w14:paraId="7717D311" w14:textId="77777777" w:rsidTr="00E02BDA">
        <w:trPr>
          <w:trHeight w:val="187"/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F53C4" w14:textId="77777777" w:rsidR="00FE1132" w:rsidRPr="00D05D79" w:rsidRDefault="00FE1132" w:rsidP="00E02BDA">
            <w:pPr>
              <w:pStyle w:val="TAH"/>
              <w:rPr>
                <w:bCs/>
              </w:rPr>
            </w:pPr>
            <w:r w:rsidRPr="00D05D79">
              <w:rPr>
                <w:bCs/>
              </w:rPr>
              <w:t>Modulation/Waveform</w:t>
            </w:r>
          </w:p>
        </w:tc>
        <w:tc>
          <w:tcPr>
            <w:tcW w:w="4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753F" w14:textId="30242CEE" w:rsidR="00FE1132" w:rsidRPr="00D05D79" w:rsidRDefault="00FE1132" w:rsidP="00E02BDA">
            <w:pPr>
              <w:pStyle w:val="TAH"/>
              <w:rPr>
                <w:bCs/>
              </w:rPr>
            </w:pPr>
            <w:r w:rsidRPr="00D05D79">
              <w:rPr>
                <w:bCs/>
              </w:rPr>
              <w:t>A-MPR (dB)</w:t>
            </w:r>
          </w:p>
        </w:tc>
      </w:tr>
      <w:tr w:rsidR="00FE1132" w:rsidRPr="00D05D79" w14:paraId="50409C8C" w14:textId="77777777" w:rsidTr="00E02BDA">
        <w:trPr>
          <w:trHeight w:val="187"/>
          <w:jc w:val="center"/>
        </w:trPr>
        <w:tc>
          <w:tcPr>
            <w:tcW w:w="2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92391" w14:textId="77777777" w:rsidR="00FE1132" w:rsidRPr="00D05D79" w:rsidRDefault="00FE1132" w:rsidP="00E02BDA">
            <w:pPr>
              <w:pStyle w:val="TAH"/>
              <w:rPr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5D33" w14:textId="1FF04EEF" w:rsidR="00FE1132" w:rsidRPr="00D05D79" w:rsidRDefault="00FE1132" w:rsidP="00E02BDA">
            <w:pPr>
              <w:pStyle w:val="TAH"/>
              <w:rPr>
                <w:bCs/>
              </w:rPr>
            </w:pPr>
            <w:r>
              <w:rPr>
                <w:bCs/>
              </w:rPr>
              <w:t>Edge region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23A1B" w14:textId="616330CC" w:rsidR="00FE1132" w:rsidRPr="00D05D79" w:rsidRDefault="00FE1132" w:rsidP="00E02BDA">
            <w:pPr>
              <w:pStyle w:val="TAH"/>
              <w:rPr>
                <w:bCs/>
              </w:rPr>
            </w:pPr>
            <w:r>
              <w:rPr>
                <w:bCs/>
              </w:rPr>
              <w:t>IMD3 region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BE9B6" w14:textId="6365DCED" w:rsidR="00FE1132" w:rsidRPr="00D05D79" w:rsidRDefault="00FE1132" w:rsidP="00E02BDA">
            <w:pPr>
              <w:pStyle w:val="TAH"/>
              <w:rPr>
                <w:bCs/>
              </w:rPr>
            </w:pPr>
            <w:r>
              <w:rPr>
                <w:bCs/>
              </w:rPr>
              <w:t>CIM3 region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1C509" w14:textId="460B074F" w:rsidR="00FE1132" w:rsidRPr="00D05D79" w:rsidRDefault="00FE1132" w:rsidP="00E02BDA">
            <w:pPr>
              <w:pStyle w:val="TAH"/>
              <w:rPr>
                <w:bCs/>
              </w:rPr>
            </w:pPr>
            <w:r>
              <w:rPr>
                <w:bCs/>
              </w:rPr>
              <w:t>Regrowth region</w:t>
            </w:r>
          </w:p>
        </w:tc>
      </w:tr>
      <w:tr w:rsidR="00FE1132" w:rsidRPr="00D05D79" w14:paraId="6A8E3CFD" w14:textId="77777777" w:rsidTr="00E02BDA">
        <w:trPr>
          <w:trHeight w:val="187"/>
          <w:jc w:val="center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27C21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0D80E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Pi/2-BPSK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D514D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4C400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00359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lang w:val="en-US"/>
              </w:rPr>
              <w:t>N/A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D54E1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3.5</w:t>
            </w:r>
          </w:p>
        </w:tc>
      </w:tr>
      <w:tr w:rsidR="00FE1132" w:rsidRPr="00D05D79" w14:paraId="26D6FC75" w14:textId="77777777" w:rsidTr="00E02BDA">
        <w:trPr>
          <w:trHeight w:val="187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69C7C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6E346F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E7C09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94CE5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7CF0C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lang w:val="en-US"/>
              </w:rPr>
              <w:t>N/A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EE1BD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4.0</w:t>
            </w:r>
          </w:p>
        </w:tc>
      </w:tr>
      <w:tr w:rsidR="00FE1132" w:rsidRPr="00D05D79" w14:paraId="4A1DBA73" w14:textId="77777777" w:rsidTr="00E02BDA">
        <w:trPr>
          <w:trHeight w:val="187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FE474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C08B6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70E67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0488E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2.5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C3FD5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2.0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9BCD4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4.0</w:t>
            </w:r>
          </w:p>
        </w:tc>
      </w:tr>
      <w:tr w:rsidR="00FE1132" w:rsidRPr="00D05D79" w14:paraId="4770816A" w14:textId="77777777" w:rsidTr="00E02BDA">
        <w:trPr>
          <w:trHeight w:val="187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6B8C6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B6C74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C86F8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28FFE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ACA14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3.0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7540F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4.0</w:t>
            </w:r>
          </w:p>
        </w:tc>
      </w:tr>
      <w:tr w:rsidR="00FE1132" w:rsidRPr="00D05D79" w14:paraId="62EFA314" w14:textId="77777777" w:rsidTr="00E02BDA">
        <w:trPr>
          <w:trHeight w:val="187"/>
          <w:jc w:val="center"/>
        </w:trPr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1A1AA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3CEA7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B929F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488D8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N/A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2B151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N/A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94B03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lang w:val="en-US"/>
              </w:rPr>
              <w:t>N/A</w:t>
            </w:r>
          </w:p>
        </w:tc>
      </w:tr>
      <w:tr w:rsidR="00FE1132" w:rsidRPr="00D05D79" w14:paraId="12B0D32C" w14:textId="77777777" w:rsidTr="00E02BDA">
        <w:trPr>
          <w:trHeight w:val="187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0332C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CP-OFDM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7F0F6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3B5E7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64307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2.5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60A6E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10.5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B0237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6.0</w:t>
            </w:r>
          </w:p>
        </w:tc>
      </w:tr>
      <w:tr w:rsidR="00FE1132" w:rsidRPr="00D05D79" w14:paraId="4BE3FAA7" w14:textId="77777777" w:rsidTr="00E02BDA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1F4A3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2C6C9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1085A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A3DEF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6E07B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10.5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E7C52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6.0</w:t>
            </w:r>
          </w:p>
        </w:tc>
      </w:tr>
      <w:tr w:rsidR="00FE1132" w:rsidRPr="00D05D79" w14:paraId="4B9313DA" w14:textId="77777777" w:rsidTr="00E02BDA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3C099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05E97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97263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62E42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N/A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98235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10.5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4D1D8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6.0</w:t>
            </w:r>
          </w:p>
        </w:tc>
      </w:tr>
      <w:tr w:rsidR="00FE1132" w:rsidRPr="00D05D79" w14:paraId="63E593F7" w14:textId="77777777" w:rsidTr="00E02BDA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D6301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C0690" w14:textId="77777777" w:rsidR="00FE1132" w:rsidRPr="00D05D79" w:rsidRDefault="00FE1132" w:rsidP="00E02BDA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49D0D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9D44A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N/A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1E92F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B82CB" w14:textId="77777777" w:rsidR="00FE1132" w:rsidRPr="00AF6404" w:rsidRDefault="00FE1132" w:rsidP="00E02BDA">
            <w:pPr>
              <w:pStyle w:val="TAC"/>
              <w:rPr>
                <w:lang w:val="en-US"/>
              </w:rPr>
            </w:pPr>
            <w:r w:rsidRPr="00AF6404">
              <w:rPr>
                <w:lang w:val="en-US"/>
              </w:rPr>
              <w:t>N/A</w:t>
            </w:r>
          </w:p>
        </w:tc>
      </w:tr>
    </w:tbl>
    <w:p w14:paraId="7131F960" w14:textId="2538BA2F" w:rsidR="00237558" w:rsidRDefault="00237558" w:rsidP="00A022B4"/>
    <w:p w14:paraId="75B51BC5" w14:textId="5826CBD4" w:rsidR="008D26D7" w:rsidRPr="008D26D7" w:rsidRDefault="00A46001" w:rsidP="008D26D7">
      <w:pPr>
        <w:pStyle w:val="Heading1"/>
      </w:pPr>
      <w:r>
        <w:t>4</w:t>
      </w:r>
      <w:r w:rsidR="0073496C">
        <w:tab/>
        <w:t>Conclusion</w:t>
      </w:r>
      <w:r w:rsidR="00F1354A">
        <w:t>s</w:t>
      </w:r>
    </w:p>
    <w:p w14:paraId="5EB6B552" w14:textId="1CAB2F06" w:rsidR="00F257E8" w:rsidRDefault="00C44CBB" w:rsidP="00C8539D">
      <w:r w:rsidRPr="00C44CBB">
        <w:t xml:space="preserve">We </w:t>
      </w:r>
      <w:r>
        <w:t>presented a summary of grid simulation results for FWA PC1 NS_04 in band n41 and identified four allocation regions which need different back-off values.</w:t>
      </w:r>
      <w:r w:rsidR="00767D0A">
        <w:t xml:space="preserve"> </w:t>
      </w:r>
      <w:r w:rsidR="00B167F4">
        <w:t>The A-MPR definition can be derived from this summary</w:t>
      </w:r>
      <w:r w:rsidR="00D23497">
        <w:t>.</w:t>
      </w:r>
    </w:p>
    <w:p w14:paraId="291DEC48" w14:textId="77777777" w:rsidR="00020F23" w:rsidRDefault="00A46001" w:rsidP="00020F23">
      <w:pPr>
        <w:pStyle w:val="Heading1"/>
      </w:pPr>
      <w:r>
        <w:t>5</w:t>
      </w:r>
      <w:r w:rsidR="00020F23">
        <w:tab/>
        <w:t>References</w:t>
      </w:r>
    </w:p>
    <w:p w14:paraId="1605B53E" w14:textId="54C91FB2" w:rsidR="00F1354A" w:rsidRPr="003739A3" w:rsidRDefault="00020F23" w:rsidP="00F1354A">
      <w:r>
        <w:t>[1]</w:t>
      </w:r>
      <w:r w:rsidRPr="00020F23">
        <w:t xml:space="preserve"> </w:t>
      </w:r>
      <w:r w:rsidR="00F656E0" w:rsidRPr="00F656E0">
        <w:t>R4-2305678</w:t>
      </w:r>
      <w:r w:rsidR="00F656E0">
        <w:t xml:space="preserve">, </w:t>
      </w:r>
      <w:r w:rsidR="00F656E0" w:rsidRPr="00F656E0">
        <w:t>FWA PC1 n41 NS_04 A-MPR simulation results</w:t>
      </w:r>
      <w:r w:rsidR="00F656E0">
        <w:t xml:space="preserve">, </w:t>
      </w:r>
      <w:bookmarkStart w:id="3" w:name="_Hlk135029792"/>
      <w:r w:rsidR="00F656E0">
        <w:t>Nokia, RAN4</w:t>
      </w:r>
      <w:r w:rsidR="00F656E0" w:rsidRPr="00F656E0">
        <w:t>#106bis</w:t>
      </w:r>
      <w:bookmarkEnd w:id="3"/>
      <w:r w:rsidR="00F656E0" w:rsidRPr="00F656E0">
        <w:t>-e</w:t>
      </w:r>
    </w:p>
    <w:sectPr w:rsidR="00F1354A" w:rsidRPr="003739A3" w:rsidSect="00426A90">
      <w:headerReference w:type="even" r:id="rId19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89054" w14:textId="77777777" w:rsidR="00065AD5" w:rsidRDefault="00065AD5" w:rsidP="002B3503">
      <w:pPr>
        <w:spacing w:after="0"/>
      </w:pPr>
      <w:r>
        <w:separator/>
      </w:r>
    </w:p>
  </w:endnote>
  <w:endnote w:type="continuationSeparator" w:id="0">
    <w:p w14:paraId="003330CD" w14:textId="77777777" w:rsidR="00065AD5" w:rsidRDefault="00065AD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25EC2" w14:textId="77777777" w:rsidR="00065AD5" w:rsidRDefault="00065AD5" w:rsidP="002B3503">
      <w:pPr>
        <w:spacing w:after="0"/>
      </w:pPr>
      <w:r>
        <w:separator/>
      </w:r>
    </w:p>
  </w:footnote>
  <w:footnote w:type="continuationSeparator" w:id="0">
    <w:p w14:paraId="6B0E8268" w14:textId="77777777" w:rsidR="00065AD5" w:rsidRDefault="00065AD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A353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244600">
    <w:abstractNumId w:val="2"/>
  </w:num>
  <w:num w:numId="2" w16cid:durableId="1480267539">
    <w:abstractNumId w:val="6"/>
  </w:num>
  <w:num w:numId="3" w16cid:durableId="1309480834">
    <w:abstractNumId w:val="4"/>
  </w:num>
  <w:num w:numId="4" w16cid:durableId="161169002">
    <w:abstractNumId w:val="5"/>
  </w:num>
  <w:num w:numId="5" w16cid:durableId="1320579045">
    <w:abstractNumId w:val="0"/>
  </w:num>
  <w:num w:numId="6" w16cid:durableId="1784953931">
    <w:abstractNumId w:val="1"/>
  </w:num>
  <w:num w:numId="7" w16cid:durableId="603808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2B4"/>
    <w:rsid w:val="000008B4"/>
    <w:rsid w:val="000015EF"/>
    <w:rsid w:val="00001D69"/>
    <w:rsid w:val="00002CC7"/>
    <w:rsid w:val="00003D80"/>
    <w:rsid w:val="0000645E"/>
    <w:rsid w:val="00015640"/>
    <w:rsid w:val="00020F23"/>
    <w:rsid w:val="00021A42"/>
    <w:rsid w:val="000257D7"/>
    <w:rsid w:val="00025CB7"/>
    <w:rsid w:val="00026070"/>
    <w:rsid w:val="0003030A"/>
    <w:rsid w:val="0003263E"/>
    <w:rsid w:val="000370A5"/>
    <w:rsid w:val="00037DDF"/>
    <w:rsid w:val="000412CC"/>
    <w:rsid w:val="000460ED"/>
    <w:rsid w:val="00065AD5"/>
    <w:rsid w:val="00067294"/>
    <w:rsid w:val="00084771"/>
    <w:rsid w:val="0008585F"/>
    <w:rsid w:val="00091F0B"/>
    <w:rsid w:val="000A30C2"/>
    <w:rsid w:val="000A3DFD"/>
    <w:rsid w:val="000A6473"/>
    <w:rsid w:val="000A6A9A"/>
    <w:rsid w:val="000B0C5F"/>
    <w:rsid w:val="000B16E1"/>
    <w:rsid w:val="000B3B17"/>
    <w:rsid w:val="000B4E56"/>
    <w:rsid w:val="000B4FEB"/>
    <w:rsid w:val="000B5E8E"/>
    <w:rsid w:val="000C103C"/>
    <w:rsid w:val="000D208F"/>
    <w:rsid w:val="000D47F9"/>
    <w:rsid w:val="000D78F6"/>
    <w:rsid w:val="000E4D14"/>
    <w:rsid w:val="000E6C55"/>
    <w:rsid w:val="000F1C13"/>
    <w:rsid w:val="000F24DD"/>
    <w:rsid w:val="000F2546"/>
    <w:rsid w:val="000F50EC"/>
    <w:rsid w:val="000F640A"/>
    <w:rsid w:val="00100180"/>
    <w:rsid w:val="00101626"/>
    <w:rsid w:val="00103568"/>
    <w:rsid w:val="00104484"/>
    <w:rsid w:val="00104BEC"/>
    <w:rsid w:val="00113DD7"/>
    <w:rsid w:val="00117D87"/>
    <w:rsid w:val="001221D2"/>
    <w:rsid w:val="001364A1"/>
    <w:rsid w:val="00142F63"/>
    <w:rsid w:val="001458FC"/>
    <w:rsid w:val="0015000E"/>
    <w:rsid w:val="00151221"/>
    <w:rsid w:val="001535C6"/>
    <w:rsid w:val="0015578A"/>
    <w:rsid w:val="001568C3"/>
    <w:rsid w:val="00157A2C"/>
    <w:rsid w:val="0016131F"/>
    <w:rsid w:val="001616AF"/>
    <w:rsid w:val="00163356"/>
    <w:rsid w:val="00163F83"/>
    <w:rsid w:val="001751F1"/>
    <w:rsid w:val="0017673F"/>
    <w:rsid w:val="00180662"/>
    <w:rsid w:val="001875D6"/>
    <w:rsid w:val="00187AC5"/>
    <w:rsid w:val="00191726"/>
    <w:rsid w:val="001953B8"/>
    <w:rsid w:val="001A4C14"/>
    <w:rsid w:val="001B3026"/>
    <w:rsid w:val="001B3DC9"/>
    <w:rsid w:val="001B6495"/>
    <w:rsid w:val="001C473D"/>
    <w:rsid w:val="001C4872"/>
    <w:rsid w:val="001C746B"/>
    <w:rsid w:val="001D0DD0"/>
    <w:rsid w:val="001D44A7"/>
    <w:rsid w:val="001D5F22"/>
    <w:rsid w:val="001D64A5"/>
    <w:rsid w:val="001E4F63"/>
    <w:rsid w:val="001E6F92"/>
    <w:rsid w:val="001F6E44"/>
    <w:rsid w:val="00205D29"/>
    <w:rsid w:val="00210EFE"/>
    <w:rsid w:val="00211DFC"/>
    <w:rsid w:val="002127E2"/>
    <w:rsid w:val="002135FA"/>
    <w:rsid w:val="00213E45"/>
    <w:rsid w:val="00214C87"/>
    <w:rsid w:val="00214CF4"/>
    <w:rsid w:val="00215035"/>
    <w:rsid w:val="002161DB"/>
    <w:rsid w:val="00221F67"/>
    <w:rsid w:val="002258A4"/>
    <w:rsid w:val="00230F65"/>
    <w:rsid w:val="00234429"/>
    <w:rsid w:val="002359F1"/>
    <w:rsid w:val="00237558"/>
    <w:rsid w:val="0024072D"/>
    <w:rsid w:val="00240C98"/>
    <w:rsid w:val="00241E14"/>
    <w:rsid w:val="00260340"/>
    <w:rsid w:val="002650DA"/>
    <w:rsid w:val="00265C9C"/>
    <w:rsid w:val="00273303"/>
    <w:rsid w:val="00281065"/>
    <w:rsid w:val="00291DDD"/>
    <w:rsid w:val="002A25EA"/>
    <w:rsid w:val="002A6AAF"/>
    <w:rsid w:val="002A7181"/>
    <w:rsid w:val="002B016E"/>
    <w:rsid w:val="002B3503"/>
    <w:rsid w:val="002B520A"/>
    <w:rsid w:val="002B6118"/>
    <w:rsid w:val="002C2C9A"/>
    <w:rsid w:val="002C58BF"/>
    <w:rsid w:val="002D2822"/>
    <w:rsid w:val="002D3783"/>
    <w:rsid w:val="002D3897"/>
    <w:rsid w:val="002D4117"/>
    <w:rsid w:val="002D4A8E"/>
    <w:rsid w:val="002D7A16"/>
    <w:rsid w:val="002E1410"/>
    <w:rsid w:val="002E3E10"/>
    <w:rsid w:val="002F12EE"/>
    <w:rsid w:val="002F6A38"/>
    <w:rsid w:val="00304DA8"/>
    <w:rsid w:val="00322895"/>
    <w:rsid w:val="00327614"/>
    <w:rsid w:val="003359A8"/>
    <w:rsid w:val="00346605"/>
    <w:rsid w:val="00347DEA"/>
    <w:rsid w:val="00361F37"/>
    <w:rsid w:val="00366B4C"/>
    <w:rsid w:val="00371041"/>
    <w:rsid w:val="003732AC"/>
    <w:rsid w:val="003739A3"/>
    <w:rsid w:val="003777FE"/>
    <w:rsid w:val="00382E20"/>
    <w:rsid w:val="0038718D"/>
    <w:rsid w:val="003877EE"/>
    <w:rsid w:val="00395173"/>
    <w:rsid w:val="00396E17"/>
    <w:rsid w:val="003A0FB9"/>
    <w:rsid w:val="003A33F4"/>
    <w:rsid w:val="003A4690"/>
    <w:rsid w:val="003B7C21"/>
    <w:rsid w:val="003C2B89"/>
    <w:rsid w:val="003C42AC"/>
    <w:rsid w:val="003C6403"/>
    <w:rsid w:val="003D301D"/>
    <w:rsid w:val="003D3612"/>
    <w:rsid w:val="003D3B15"/>
    <w:rsid w:val="003E31DF"/>
    <w:rsid w:val="003F391E"/>
    <w:rsid w:val="003F7C08"/>
    <w:rsid w:val="00400F07"/>
    <w:rsid w:val="00402DF6"/>
    <w:rsid w:val="0041201F"/>
    <w:rsid w:val="004148DE"/>
    <w:rsid w:val="00416BF1"/>
    <w:rsid w:val="0042109F"/>
    <w:rsid w:val="0042616E"/>
    <w:rsid w:val="00426A90"/>
    <w:rsid w:val="0043450E"/>
    <w:rsid w:val="004369F3"/>
    <w:rsid w:val="004422E1"/>
    <w:rsid w:val="004524FA"/>
    <w:rsid w:val="00453BA5"/>
    <w:rsid w:val="00454E53"/>
    <w:rsid w:val="00455C2E"/>
    <w:rsid w:val="004610FC"/>
    <w:rsid w:val="00461285"/>
    <w:rsid w:val="00462A04"/>
    <w:rsid w:val="00477AA8"/>
    <w:rsid w:val="00482477"/>
    <w:rsid w:val="00482DDD"/>
    <w:rsid w:val="00483CD4"/>
    <w:rsid w:val="00491386"/>
    <w:rsid w:val="00491FC7"/>
    <w:rsid w:val="00494F18"/>
    <w:rsid w:val="004953DB"/>
    <w:rsid w:val="004A0078"/>
    <w:rsid w:val="004A26EB"/>
    <w:rsid w:val="004A41DA"/>
    <w:rsid w:val="004A5D42"/>
    <w:rsid w:val="004A6008"/>
    <w:rsid w:val="004B3736"/>
    <w:rsid w:val="004B7212"/>
    <w:rsid w:val="004B746B"/>
    <w:rsid w:val="004B7E43"/>
    <w:rsid w:val="004C0103"/>
    <w:rsid w:val="004C58F9"/>
    <w:rsid w:val="004D0C67"/>
    <w:rsid w:val="004D3D81"/>
    <w:rsid w:val="004E7975"/>
    <w:rsid w:val="004F26B7"/>
    <w:rsid w:val="004F43E1"/>
    <w:rsid w:val="00502796"/>
    <w:rsid w:val="005050DB"/>
    <w:rsid w:val="005052DF"/>
    <w:rsid w:val="0052117E"/>
    <w:rsid w:val="00522C8C"/>
    <w:rsid w:val="005309B7"/>
    <w:rsid w:val="00530E0A"/>
    <w:rsid w:val="005319AB"/>
    <w:rsid w:val="00531B21"/>
    <w:rsid w:val="00541532"/>
    <w:rsid w:val="00543093"/>
    <w:rsid w:val="005466B1"/>
    <w:rsid w:val="005477DA"/>
    <w:rsid w:val="00555F37"/>
    <w:rsid w:val="00560A63"/>
    <w:rsid w:val="00564B2E"/>
    <w:rsid w:val="0056514B"/>
    <w:rsid w:val="00566F72"/>
    <w:rsid w:val="00570B14"/>
    <w:rsid w:val="00575001"/>
    <w:rsid w:val="00584C06"/>
    <w:rsid w:val="00590350"/>
    <w:rsid w:val="00594E2E"/>
    <w:rsid w:val="00596F8F"/>
    <w:rsid w:val="005A35C6"/>
    <w:rsid w:val="005A6A8D"/>
    <w:rsid w:val="005A7283"/>
    <w:rsid w:val="005B174A"/>
    <w:rsid w:val="005B2640"/>
    <w:rsid w:val="005B64D9"/>
    <w:rsid w:val="005C3CB3"/>
    <w:rsid w:val="005D483D"/>
    <w:rsid w:val="005D4989"/>
    <w:rsid w:val="005F02EB"/>
    <w:rsid w:val="005F1F95"/>
    <w:rsid w:val="005F4052"/>
    <w:rsid w:val="005F6CE3"/>
    <w:rsid w:val="00602EB6"/>
    <w:rsid w:val="006065A7"/>
    <w:rsid w:val="006104AF"/>
    <w:rsid w:val="00610EF2"/>
    <w:rsid w:val="006278F8"/>
    <w:rsid w:val="00631465"/>
    <w:rsid w:val="0063193A"/>
    <w:rsid w:val="00633C65"/>
    <w:rsid w:val="00633CC4"/>
    <w:rsid w:val="00641C2E"/>
    <w:rsid w:val="00641E1F"/>
    <w:rsid w:val="00650590"/>
    <w:rsid w:val="006604C5"/>
    <w:rsid w:val="00664B46"/>
    <w:rsid w:val="00664DF6"/>
    <w:rsid w:val="00665292"/>
    <w:rsid w:val="00682AA8"/>
    <w:rsid w:val="00684E3C"/>
    <w:rsid w:val="00691796"/>
    <w:rsid w:val="006919C7"/>
    <w:rsid w:val="006A0152"/>
    <w:rsid w:val="006A1C86"/>
    <w:rsid w:val="006A3964"/>
    <w:rsid w:val="006B588D"/>
    <w:rsid w:val="006B58FE"/>
    <w:rsid w:val="006B59AA"/>
    <w:rsid w:val="006C1EB7"/>
    <w:rsid w:val="006C5C4F"/>
    <w:rsid w:val="006C6840"/>
    <w:rsid w:val="006D12DA"/>
    <w:rsid w:val="006D142E"/>
    <w:rsid w:val="006D53D0"/>
    <w:rsid w:val="006D575C"/>
    <w:rsid w:val="006D6FDB"/>
    <w:rsid w:val="006D77C8"/>
    <w:rsid w:val="006E1AD8"/>
    <w:rsid w:val="006E5469"/>
    <w:rsid w:val="006F0F2B"/>
    <w:rsid w:val="006F1606"/>
    <w:rsid w:val="00700831"/>
    <w:rsid w:val="00703672"/>
    <w:rsid w:val="007037B0"/>
    <w:rsid w:val="00716AB6"/>
    <w:rsid w:val="00721516"/>
    <w:rsid w:val="00723F0B"/>
    <w:rsid w:val="00726265"/>
    <w:rsid w:val="0073496C"/>
    <w:rsid w:val="00734EBD"/>
    <w:rsid w:val="007535C9"/>
    <w:rsid w:val="007548F4"/>
    <w:rsid w:val="0075728F"/>
    <w:rsid w:val="00760647"/>
    <w:rsid w:val="00767D0A"/>
    <w:rsid w:val="0077266D"/>
    <w:rsid w:val="007731A1"/>
    <w:rsid w:val="007737CB"/>
    <w:rsid w:val="0077449C"/>
    <w:rsid w:val="00775BF6"/>
    <w:rsid w:val="00790D82"/>
    <w:rsid w:val="0079231B"/>
    <w:rsid w:val="00794808"/>
    <w:rsid w:val="007955E8"/>
    <w:rsid w:val="007A3C2F"/>
    <w:rsid w:val="007A617B"/>
    <w:rsid w:val="007B1117"/>
    <w:rsid w:val="007D20DF"/>
    <w:rsid w:val="007F54FC"/>
    <w:rsid w:val="007F7086"/>
    <w:rsid w:val="0080529E"/>
    <w:rsid w:val="00806305"/>
    <w:rsid w:val="00816AB0"/>
    <w:rsid w:val="00816BB8"/>
    <w:rsid w:val="00820359"/>
    <w:rsid w:val="00820BC5"/>
    <w:rsid w:val="00822FAB"/>
    <w:rsid w:val="008236E4"/>
    <w:rsid w:val="00830F65"/>
    <w:rsid w:val="00850296"/>
    <w:rsid w:val="0085459F"/>
    <w:rsid w:val="00855414"/>
    <w:rsid w:val="00864A18"/>
    <w:rsid w:val="00866D2F"/>
    <w:rsid w:val="0087085E"/>
    <w:rsid w:val="00871BB5"/>
    <w:rsid w:val="00876BEF"/>
    <w:rsid w:val="00885116"/>
    <w:rsid w:val="008855F2"/>
    <w:rsid w:val="00891EC8"/>
    <w:rsid w:val="00893B1F"/>
    <w:rsid w:val="00895F8B"/>
    <w:rsid w:val="00896DC4"/>
    <w:rsid w:val="008A4493"/>
    <w:rsid w:val="008A698E"/>
    <w:rsid w:val="008B51D3"/>
    <w:rsid w:val="008C05AD"/>
    <w:rsid w:val="008D26D7"/>
    <w:rsid w:val="008D5A04"/>
    <w:rsid w:val="008E1540"/>
    <w:rsid w:val="008F13FF"/>
    <w:rsid w:val="008F6262"/>
    <w:rsid w:val="008F6EEA"/>
    <w:rsid w:val="00905D49"/>
    <w:rsid w:val="009064A4"/>
    <w:rsid w:val="00912B33"/>
    <w:rsid w:val="0091383D"/>
    <w:rsid w:val="00914272"/>
    <w:rsid w:val="00914319"/>
    <w:rsid w:val="009163AA"/>
    <w:rsid w:val="0091652E"/>
    <w:rsid w:val="00916DEB"/>
    <w:rsid w:val="009251A3"/>
    <w:rsid w:val="0093022F"/>
    <w:rsid w:val="009331D5"/>
    <w:rsid w:val="00937F2E"/>
    <w:rsid w:val="00940559"/>
    <w:rsid w:val="0094195E"/>
    <w:rsid w:val="00946163"/>
    <w:rsid w:val="009627F3"/>
    <w:rsid w:val="0096646D"/>
    <w:rsid w:val="00980CBF"/>
    <w:rsid w:val="009943D4"/>
    <w:rsid w:val="00994B01"/>
    <w:rsid w:val="00996062"/>
    <w:rsid w:val="009A2FC9"/>
    <w:rsid w:val="009A3C40"/>
    <w:rsid w:val="009A4887"/>
    <w:rsid w:val="009A4B07"/>
    <w:rsid w:val="009A6F2E"/>
    <w:rsid w:val="009B1E68"/>
    <w:rsid w:val="009B218B"/>
    <w:rsid w:val="009C0E9B"/>
    <w:rsid w:val="009D1984"/>
    <w:rsid w:val="009D239A"/>
    <w:rsid w:val="009D4360"/>
    <w:rsid w:val="009D79EA"/>
    <w:rsid w:val="009F2779"/>
    <w:rsid w:val="00A022B4"/>
    <w:rsid w:val="00A033D4"/>
    <w:rsid w:val="00A03643"/>
    <w:rsid w:val="00A039A3"/>
    <w:rsid w:val="00A063F4"/>
    <w:rsid w:val="00A1075E"/>
    <w:rsid w:val="00A110D1"/>
    <w:rsid w:val="00A11D13"/>
    <w:rsid w:val="00A20BFE"/>
    <w:rsid w:val="00A226F6"/>
    <w:rsid w:val="00A24E5E"/>
    <w:rsid w:val="00A30DC4"/>
    <w:rsid w:val="00A31791"/>
    <w:rsid w:val="00A451E8"/>
    <w:rsid w:val="00A46001"/>
    <w:rsid w:val="00A6018C"/>
    <w:rsid w:val="00A62CC0"/>
    <w:rsid w:val="00A66DE4"/>
    <w:rsid w:val="00A673E6"/>
    <w:rsid w:val="00A67A94"/>
    <w:rsid w:val="00A71D69"/>
    <w:rsid w:val="00A767DC"/>
    <w:rsid w:val="00A849E7"/>
    <w:rsid w:val="00A91B82"/>
    <w:rsid w:val="00AA7D2D"/>
    <w:rsid w:val="00AB2813"/>
    <w:rsid w:val="00AC2821"/>
    <w:rsid w:val="00AC344B"/>
    <w:rsid w:val="00AC3F29"/>
    <w:rsid w:val="00AC50AB"/>
    <w:rsid w:val="00AC6A05"/>
    <w:rsid w:val="00AD1832"/>
    <w:rsid w:val="00AD360B"/>
    <w:rsid w:val="00AE09F6"/>
    <w:rsid w:val="00AE3721"/>
    <w:rsid w:val="00AE62DA"/>
    <w:rsid w:val="00AE6327"/>
    <w:rsid w:val="00AE7FEC"/>
    <w:rsid w:val="00AF0724"/>
    <w:rsid w:val="00AF6404"/>
    <w:rsid w:val="00AF7CB0"/>
    <w:rsid w:val="00B0192C"/>
    <w:rsid w:val="00B02502"/>
    <w:rsid w:val="00B1173A"/>
    <w:rsid w:val="00B13949"/>
    <w:rsid w:val="00B167F4"/>
    <w:rsid w:val="00B20401"/>
    <w:rsid w:val="00B20926"/>
    <w:rsid w:val="00B250BC"/>
    <w:rsid w:val="00B25CB5"/>
    <w:rsid w:val="00B316D9"/>
    <w:rsid w:val="00B36EE5"/>
    <w:rsid w:val="00B40905"/>
    <w:rsid w:val="00B4153D"/>
    <w:rsid w:val="00B43457"/>
    <w:rsid w:val="00B4385F"/>
    <w:rsid w:val="00B442B7"/>
    <w:rsid w:val="00B47ECC"/>
    <w:rsid w:val="00B53304"/>
    <w:rsid w:val="00B54BAC"/>
    <w:rsid w:val="00B616D8"/>
    <w:rsid w:val="00B63135"/>
    <w:rsid w:val="00B65B59"/>
    <w:rsid w:val="00B66628"/>
    <w:rsid w:val="00B813D6"/>
    <w:rsid w:val="00BA2530"/>
    <w:rsid w:val="00BA598B"/>
    <w:rsid w:val="00BA6533"/>
    <w:rsid w:val="00BA6955"/>
    <w:rsid w:val="00BB1927"/>
    <w:rsid w:val="00BB3C03"/>
    <w:rsid w:val="00BB4190"/>
    <w:rsid w:val="00BC0D41"/>
    <w:rsid w:val="00BC5928"/>
    <w:rsid w:val="00BC7614"/>
    <w:rsid w:val="00BC764C"/>
    <w:rsid w:val="00BD172E"/>
    <w:rsid w:val="00BD2459"/>
    <w:rsid w:val="00BD7347"/>
    <w:rsid w:val="00BE1016"/>
    <w:rsid w:val="00BE6DF3"/>
    <w:rsid w:val="00BF4228"/>
    <w:rsid w:val="00BF4B17"/>
    <w:rsid w:val="00C00207"/>
    <w:rsid w:val="00C051F0"/>
    <w:rsid w:val="00C12D50"/>
    <w:rsid w:val="00C165DA"/>
    <w:rsid w:val="00C20F54"/>
    <w:rsid w:val="00C21554"/>
    <w:rsid w:val="00C242DF"/>
    <w:rsid w:val="00C277D7"/>
    <w:rsid w:val="00C33B37"/>
    <w:rsid w:val="00C44CBB"/>
    <w:rsid w:val="00C569B3"/>
    <w:rsid w:val="00C57C27"/>
    <w:rsid w:val="00C6032C"/>
    <w:rsid w:val="00C7763D"/>
    <w:rsid w:val="00C81014"/>
    <w:rsid w:val="00C81190"/>
    <w:rsid w:val="00C812A2"/>
    <w:rsid w:val="00C83CFB"/>
    <w:rsid w:val="00C8539D"/>
    <w:rsid w:val="00C86102"/>
    <w:rsid w:val="00C8690D"/>
    <w:rsid w:val="00C86FD9"/>
    <w:rsid w:val="00C87AD5"/>
    <w:rsid w:val="00C90E31"/>
    <w:rsid w:val="00C92CEA"/>
    <w:rsid w:val="00C93BF8"/>
    <w:rsid w:val="00C9571C"/>
    <w:rsid w:val="00CC1449"/>
    <w:rsid w:val="00CC16D1"/>
    <w:rsid w:val="00CC6FC2"/>
    <w:rsid w:val="00CC797E"/>
    <w:rsid w:val="00CD0264"/>
    <w:rsid w:val="00CD25F8"/>
    <w:rsid w:val="00CE0AF3"/>
    <w:rsid w:val="00CF01BB"/>
    <w:rsid w:val="00CF4412"/>
    <w:rsid w:val="00D05D79"/>
    <w:rsid w:val="00D06FCD"/>
    <w:rsid w:val="00D07AD5"/>
    <w:rsid w:val="00D2151E"/>
    <w:rsid w:val="00D23497"/>
    <w:rsid w:val="00D275CC"/>
    <w:rsid w:val="00D3206F"/>
    <w:rsid w:val="00D4062B"/>
    <w:rsid w:val="00D4723E"/>
    <w:rsid w:val="00D47A46"/>
    <w:rsid w:val="00D54AE1"/>
    <w:rsid w:val="00D62BF5"/>
    <w:rsid w:val="00D6594D"/>
    <w:rsid w:val="00D733F3"/>
    <w:rsid w:val="00D767C4"/>
    <w:rsid w:val="00D77CF5"/>
    <w:rsid w:val="00D81759"/>
    <w:rsid w:val="00D87BA7"/>
    <w:rsid w:val="00D9688E"/>
    <w:rsid w:val="00DA22F1"/>
    <w:rsid w:val="00DA260E"/>
    <w:rsid w:val="00DA7C24"/>
    <w:rsid w:val="00DB3480"/>
    <w:rsid w:val="00DC01EC"/>
    <w:rsid w:val="00DC40E5"/>
    <w:rsid w:val="00DC4E97"/>
    <w:rsid w:val="00DE343D"/>
    <w:rsid w:val="00DE420D"/>
    <w:rsid w:val="00DF2E6B"/>
    <w:rsid w:val="00DF4043"/>
    <w:rsid w:val="00DF4078"/>
    <w:rsid w:val="00E075A8"/>
    <w:rsid w:val="00E0780C"/>
    <w:rsid w:val="00E10AC4"/>
    <w:rsid w:val="00E112A9"/>
    <w:rsid w:val="00E14E96"/>
    <w:rsid w:val="00E21753"/>
    <w:rsid w:val="00E23619"/>
    <w:rsid w:val="00E32086"/>
    <w:rsid w:val="00E33B68"/>
    <w:rsid w:val="00E35267"/>
    <w:rsid w:val="00E36965"/>
    <w:rsid w:val="00E54FC7"/>
    <w:rsid w:val="00E5539B"/>
    <w:rsid w:val="00E60C26"/>
    <w:rsid w:val="00E61FFC"/>
    <w:rsid w:val="00E63AC7"/>
    <w:rsid w:val="00E63D44"/>
    <w:rsid w:val="00E65A94"/>
    <w:rsid w:val="00E727AE"/>
    <w:rsid w:val="00E75361"/>
    <w:rsid w:val="00E80196"/>
    <w:rsid w:val="00E9437E"/>
    <w:rsid w:val="00E94992"/>
    <w:rsid w:val="00E962C5"/>
    <w:rsid w:val="00EA0625"/>
    <w:rsid w:val="00EA3488"/>
    <w:rsid w:val="00EA6FAE"/>
    <w:rsid w:val="00EB0713"/>
    <w:rsid w:val="00EB2E74"/>
    <w:rsid w:val="00EB3105"/>
    <w:rsid w:val="00EB5F7D"/>
    <w:rsid w:val="00EC589F"/>
    <w:rsid w:val="00EC5C5D"/>
    <w:rsid w:val="00EC6754"/>
    <w:rsid w:val="00ED13D9"/>
    <w:rsid w:val="00EE0FE8"/>
    <w:rsid w:val="00EE1412"/>
    <w:rsid w:val="00EE6D68"/>
    <w:rsid w:val="00EE7228"/>
    <w:rsid w:val="00EF0368"/>
    <w:rsid w:val="00EF266A"/>
    <w:rsid w:val="00EF41BA"/>
    <w:rsid w:val="00F04AB4"/>
    <w:rsid w:val="00F12F88"/>
    <w:rsid w:val="00F1354A"/>
    <w:rsid w:val="00F160B9"/>
    <w:rsid w:val="00F17C27"/>
    <w:rsid w:val="00F17D84"/>
    <w:rsid w:val="00F23BEC"/>
    <w:rsid w:val="00F257E8"/>
    <w:rsid w:val="00F35FAA"/>
    <w:rsid w:val="00F4359C"/>
    <w:rsid w:val="00F45C55"/>
    <w:rsid w:val="00F50FDC"/>
    <w:rsid w:val="00F51D4B"/>
    <w:rsid w:val="00F54E9B"/>
    <w:rsid w:val="00F5605E"/>
    <w:rsid w:val="00F656E0"/>
    <w:rsid w:val="00F70131"/>
    <w:rsid w:val="00F72C0B"/>
    <w:rsid w:val="00F86ADD"/>
    <w:rsid w:val="00F9042D"/>
    <w:rsid w:val="00F91C32"/>
    <w:rsid w:val="00F9457C"/>
    <w:rsid w:val="00F9486C"/>
    <w:rsid w:val="00F97D64"/>
    <w:rsid w:val="00FA2D5C"/>
    <w:rsid w:val="00FA42E2"/>
    <w:rsid w:val="00FB1F7E"/>
    <w:rsid w:val="00FB5EDE"/>
    <w:rsid w:val="00FC288C"/>
    <w:rsid w:val="00FC336D"/>
    <w:rsid w:val="00FD085A"/>
    <w:rsid w:val="00FD543C"/>
    <w:rsid w:val="00FD7028"/>
    <w:rsid w:val="00FE1132"/>
    <w:rsid w:val="00FE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A0B283"/>
  <w15:chartTrackingRefBased/>
  <w15:docId w15:val="{DC755188-B98B-4C76-8884-19AF0A16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35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633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633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3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3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3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356"/>
    <w:pPr>
      <w:outlineLvl w:val="5"/>
    </w:pPr>
  </w:style>
  <w:style w:type="paragraph" w:styleId="Heading7">
    <w:name w:val="heading 7"/>
    <w:basedOn w:val="H6"/>
    <w:next w:val="Normal"/>
    <w:qFormat/>
    <w:rsid w:val="00163356"/>
    <w:pPr>
      <w:outlineLvl w:val="6"/>
    </w:pPr>
  </w:style>
  <w:style w:type="paragraph" w:styleId="Heading8">
    <w:name w:val="heading 8"/>
    <w:basedOn w:val="Heading1"/>
    <w:next w:val="Normal"/>
    <w:qFormat/>
    <w:rsid w:val="001633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35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633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3356"/>
  </w:style>
  <w:style w:type="paragraph" w:styleId="TOC8">
    <w:name w:val="toc 8"/>
    <w:basedOn w:val="TOC1"/>
    <w:semiHidden/>
    <w:rsid w:val="0016335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3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633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63356"/>
    <w:pPr>
      <w:ind w:left="1701" w:hanging="1701"/>
    </w:pPr>
  </w:style>
  <w:style w:type="paragraph" w:styleId="TOC4">
    <w:name w:val="toc 4"/>
    <w:basedOn w:val="TOC3"/>
    <w:semiHidden/>
    <w:rsid w:val="00163356"/>
    <w:pPr>
      <w:ind w:left="1418" w:hanging="1418"/>
    </w:pPr>
  </w:style>
  <w:style w:type="paragraph" w:styleId="TOC3">
    <w:name w:val="toc 3"/>
    <w:basedOn w:val="TOC2"/>
    <w:semiHidden/>
    <w:rsid w:val="00163356"/>
    <w:pPr>
      <w:ind w:left="1134" w:hanging="1134"/>
    </w:pPr>
  </w:style>
  <w:style w:type="paragraph" w:styleId="TOC2">
    <w:name w:val="toc 2"/>
    <w:basedOn w:val="TOC1"/>
    <w:semiHidden/>
    <w:rsid w:val="001633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356"/>
    <w:pPr>
      <w:ind w:left="284"/>
    </w:pPr>
  </w:style>
  <w:style w:type="paragraph" w:styleId="Index1">
    <w:name w:val="index 1"/>
    <w:basedOn w:val="Normal"/>
    <w:semiHidden/>
    <w:rsid w:val="00163356"/>
    <w:pPr>
      <w:keepLines/>
      <w:spacing w:after="0"/>
    </w:pPr>
  </w:style>
  <w:style w:type="paragraph" w:customStyle="1" w:styleId="ZH">
    <w:name w:val="ZH"/>
    <w:rsid w:val="001633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63356"/>
    <w:pPr>
      <w:outlineLvl w:val="9"/>
    </w:pPr>
  </w:style>
  <w:style w:type="paragraph" w:styleId="ListNumber2">
    <w:name w:val="List Number 2"/>
    <w:basedOn w:val="ListNumber"/>
    <w:semiHidden/>
    <w:rsid w:val="0016335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33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63356"/>
    <w:rPr>
      <w:b/>
      <w:position w:val="6"/>
      <w:sz w:val="16"/>
    </w:rPr>
  </w:style>
  <w:style w:type="paragraph" w:styleId="FootnoteText">
    <w:name w:val="footnote text"/>
    <w:basedOn w:val="Normal"/>
    <w:semiHidden/>
    <w:rsid w:val="001633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63356"/>
    <w:rPr>
      <w:b/>
    </w:rPr>
  </w:style>
  <w:style w:type="paragraph" w:customStyle="1" w:styleId="TAC">
    <w:name w:val="TAC"/>
    <w:basedOn w:val="TAL"/>
    <w:link w:val="TACChar"/>
    <w:rsid w:val="00163356"/>
    <w:pPr>
      <w:jc w:val="center"/>
    </w:pPr>
  </w:style>
  <w:style w:type="paragraph" w:customStyle="1" w:styleId="TF">
    <w:name w:val="TF"/>
    <w:basedOn w:val="TH"/>
    <w:rsid w:val="00163356"/>
    <w:pPr>
      <w:keepNext w:val="0"/>
      <w:spacing w:before="0" w:after="240"/>
    </w:pPr>
  </w:style>
  <w:style w:type="paragraph" w:customStyle="1" w:styleId="NO">
    <w:name w:val="NO"/>
    <w:basedOn w:val="Normal"/>
    <w:rsid w:val="00163356"/>
    <w:pPr>
      <w:keepLines/>
      <w:ind w:left="1135" w:hanging="851"/>
    </w:pPr>
  </w:style>
  <w:style w:type="paragraph" w:styleId="TOC9">
    <w:name w:val="toc 9"/>
    <w:basedOn w:val="TOC8"/>
    <w:semiHidden/>
    <w:rsid w:val="00163356"/>
    <w:pPr>
      <w:ind w:left="1418" w:hanging="1418"/>
    </w:pPr>
  </w:style>
  <w:style w:type="paragraph" w:customStyle="1" w:styleId="EX">
    <w:name w:val="EX"/>
    <w:basedOn w:val="Normal"/>
    <w:rsid w:val="00163356"/>
    <w:pPr>
      <w:keepLines/>
      <w:ind w:left="1702" w:hanging="1418"/>
    </w:pPr>
  </w:style>
  <w:style w:type="paragraph" w:customStyle="1" w:styleId="FP">
    <w:name w:val="FP"/>
    <w:basedOn w:val="Normal"/>
    <w:rsid w:val="00163356"/>
    <w:pPr>
      <w:spacing w:after="0"/>
    </w:pPr>
  </w:style>
  <w:style w:type="paragraph" w:customStyle="1" w:styleId="LD">
    <w:name w:val="LD"/>
    <w:rsid w:val="001633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63356"/>
    <w:pPr>
      <w:spacing w:after="0"/>
    </w:pPr>
  </w:style>
  <w:style w:type="paragraph" w:customStyle="1" w:styleId="EW">
    <w:name w:val="EW"/>
    <w:basedOn w:val="EX"/>
    <w:rsid w:val="00163356"/>
    <w:pPr>
      <w:spacing w:after="0"/>
    </w:pPr>
  </w:style>
  <w:style w:type="paragraph" w:styleId="TOC6">
    <w:name w:val="toc 6"/>
    <w:basedOn w:val="TOC5"/>
    <w:next w:val="Normal"/>
    <w:semiHidden/>
    <w:rsid w:val="00163356"/>
    <w:pPr>
      <w:ind w:left="1985" w:hanging="1985"/>
    </w:pPr>
  </w:style>
  <w:style w:type="paragraph" w:styleId="TOC7">
    <w:name w:val="toc 7"/>
    <w:basedOn w:val="TOC6"/>
    <w:next w:val="Normal"/>
    <w:semiHidden/>
    <w:rsid w:val="00163356"/>
    <w:pPr>
      <w:ind w:left="2268" w:hanging="2268"/>
    </w:pPr>
  </w:style>
  <w:style w:type="paragraph" w:styleId="ListBullet2">
    <w:name w:val="List Bullet 2"/>
    <w:basedOn w:val="ListBullet"/>
    <w:semiHidden/>
    <w:rsid w:val="00163356"/>
    <w:pPr>
      <w:ind w:left="851"/>
    </w:pPr>
  </w:style>
  <w:style w:type="paragraph" w:styleId="ListBullet3">
    <w:name w:val="List Bullet 3"/>
    <w:basedOn w:val="ListBullet2"/>
    <w:semiHidden/>
    <w:rsid w:val="00163356"/>
    <w:pPr>
      <w:ind w:left="1135"/>
    </w:pPr>
  </w:style>
  <w:style w:type="paragraph" w:styleId="ListNumber">
    <w:name w:val="List Number"/>
    <w:basedOn w:val="List"/>
    <w:semiHidden/>
    <w:rsid w:val="00163356"/>
  </w:style>
  <w:style w:type="paragraph" w:customStyle="1" w:styleId="EQ">
    <w:name w:val="EQ"/>
    <w:basedOn w:val="Normal"/>
    <w:next w:val="Normal"/>
    <w:rsid w:val="001633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33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3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633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63356"/>
    <w:pPr>
      <w:jc w:val="right"/>
    </w:pPr>
  </w:style>
  <w:style w:type="paragraph" w:customStyle="1" w:styleId="H6">
    <w:name w:val="H6"/>
    <w:basedOn w:val="Heading5"/>
    <w:next w:val="Normal"/>
    <w:rsid w:val="001633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63356"/>
    <w:pPr>
      <w:ind w:left="851" w:hanging="851"/>
    </w:pPr>
  </w:style>
  <w:style w:type="paragraph" w:customStyle="1" w:styleId="TAL">
    <w:name w:val="TAL"/>
    <w:basedOn w:val="Normal"/>
    <w:rsid w:val="001633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33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633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633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633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63356"/>
    <w:pPr>
      <w:framePr w:wrap="notBeside" w:y="16161"/>
    </w:pPr>
  </w:style>
  <w:style w:type="character" w:customStyle="1" w:styleId="ZGSM">
    <w:name w:val="ZGSM"/>
    <w:rsid w:val="00163356"/>
  </w:style>
  <w:style w:type="paragraph" w:styleId="List2">
    <w:name w:val="List 2"/>
    <w:basedOn w:val="List"/>
    <w:semiHidden/>
    <w:rsid w:val="00163356"/>
    <w:pPr>
      <w:ind w:left="851"/>
    </w:pPr>
  </w:style>
  <w:style w:type="paragraph" w:customStyle="1" w:styleId="ZG">
    <w:name w:val="ZG"/>
    <w:rsid w:val="001633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63356"/>
    <w:pPr>
      <w:ind w:left="1135"/>
    </w:pPr>
  </w:style>
  <w:style w:type="paragraph" w:styleId="List4">
    <w:name w:val="List 4"/>
    <w:basedOn w:val="List3"/>
    <w:semiHidden/>
    <w:rsid w:val="00163356"/>
    <w:pPr>
      <w:ind w:left="1418"/>
    </w:pPr>
  </w:style>
  <w:style w:type="paragraph" w:styleId="List5">
    <w:name w:val="List 5"/>
    <w:basedOn w:val="List4"/>
    <w:semiHidden/>
    <w:rsid w:val="00163356"/>
    <w:pPr>
      <w:ind w:left="1702"/>
    </w:pPr>
  </w:style>
  <w:style w:type="paragraph" w:customStyle="1" w:styleId="EditorsNote">
    <w:name w:val="Editor's Note"/>
    <w:basedOn w:val="NO"/>
    <w:rsid w:val="00163356"/>
    <w:rPr>
      <w:color w:val="FF0000"/>
    </w:rPr>
  </w:style>
  <w:style w:type="paragraph" w:styleId="List">
    <w:name w:val="List"/>
    <w:basedOn w:val="Normal"/>
    <w:semiHidden/>
    <w:rsid w:val="00163356"/>
    <w:pPr>
      <w:ind w:left="568" w:hanging="284"/>
    </w:pPr>
  </w:style>
  <w:style w:type="paragraph" w:styleId="ListBullet">
    <w:name w:val="List Bullet"/>
    <w:basedOn w:val="List"/>
    <w:semiHidden/>
    <w:rsid w:val="00163356"/>
  </w:style>
  <w:style w:type="paragraph" w:styleId="ListBullet4">
    <w:name w:val="List Bullet 4"/>
    <w:basedOn w:val="ListBullet3"/>
    <w:semiHidden/>
    <w:rsid w:val="00163356"/>
    <w:pPr>
      <w:ind w:left="1418"/>
    </w:pPr>
  </w:style>
  <w:style w:type="paragraph" w:styleId="ListBullet5">
    <w:name w:val="List Bullet 5"/>
    <w:basedOn w:val="ListBullet4"/>
    <w:semiHidden/>
    <w:rsid w:val="00163356"/>
    <w:pPr>
      <w:ind w:left="1702"/>
    </w:pPr>
  </w:style>
  <w:style w:type="paragraph" w:customStyle="1" w:styleId="B1">
    <w:name w:val="B1"/>
    <w:basedOn w:val="List"/>
    <w:rsid w:val="00163356"/>
  </w:style>
  <w:style w:type="paragraph" w:customStyle="1" w:styleId="B2">
    <w:name w:val="B2"/>
    <w:basedOn w:val="List2"/>
    <w:rsid w:val="00163356"/>
  </w:style>
  <w:style w:type="paragraph" w:customStyle="1" w:styleId="B3">
    <w:name w:val="B3"/>
    <w:basedOn w:val="List3"/>
    <w:rsid w:val="00163356"/>
  </w:style>
  <w:style w:type="paragraph" w:customStyle="1" w:styleId="B4">
    <w:name w:val="B4"/>
    <w:basedOn w:val="List4"/>
    <w:rsid w:val="00163356"/>
  </w:style>
  <w:style w:type="paragraph" w:customStyle="1" w:styleId="B5">
    <w:name w:val="B5"/>
    <w:basedOn w:val="List5"/>
    <w:rsid w:val="00163356"/>
  </w:style>
  <w:style w:type="paragraph" w:styleId="Footer">
    <w:name w:val="footer"/>
    <w:basedOn w:val="Header"/>
    <w:semiHidden/>
    <w:rsid w:val="00163356"/>
    <w:pPr>
      <w:jc w:val="center"/>
    </w:pPr>
    <w:rPr>
      <w:i/>
    </w:rPr>
  </w:style>
  <w:style w:type="paragraph" w:customStyle="1" w:styleId="ZTD">
    <w:name w:val="ZTD"/>
    <w:basedOn w:val="ZB"/>
    <w:rsid w:val="001633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163356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63356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163356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633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33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3356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3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356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35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356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1633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3356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63356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63356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163356"/>
    <w:pPr>
      <w:ind w:left="720"/>
      <w:contextualSpacing/>
    </w:pPr>
  </w:style>
  <w:style w:type="paragraph" w:customStyle="1" w:styleId="a">
    <w:name w:val="样式 页眉"/>
    <w:basedOn w:val="Header"/>
    <w:link w:val="Char"/>
    <w:rsid w:val="00163356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163356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1633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63356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63356"/>
    <w:rPr>
      <w:color w:val="808080"/>
    </w:rPr>
  </w:style>
  <w:style w:type="character" w:customStyle="1" w:styleId="PLChar">
    <w:name w:val="PL Char"/>
    <w:link w:val="PL"/>
    <w:qFormat/>
    <w:rsid w:val="00221F67"/>
    <w:rPr>
      <w:rFonts w:ascii="Courier New" w:hAnsi="Courier New"/>
      <w:noProof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lehtine\Documents\RFSIM\RFSIM-TODO\Templates\R4-xxxxxxx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R4-xxxxxxx template.dotx</Template>
  <TotalTime>492</TotalTime>
  <Pages>6</Pages>
  <Words>961</Words>
  <Characters>5483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Vesa Lehtinen</dc:creator>
  <cp:keywords>ESA, style sheet, Winword</cp:keywords>
  <dc:description/>
  <cp:lastModifiedBy>Nokia</cp:lastModifiedBy>
  <cp:revision>440</cp:revision>
  <cp:lastPrinted>1899-12-31T22:00:00Z</cp:lastPrinted>
  <dcterms:created xsi:type="dcterms:W3CDTF">2023-05-12T13:36:00Z</dcterms:created>
  <dcterms:modified xsi:type="dcterms:W3CDTF">2023-05-15T18:57:00Z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2019-10-03T12:31:28.7743171Z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ActionId">
    <vt:lpwstr>d809f080-1321-4497-ba97-8442f929ec8f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